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Autospacing="1" w:after="0"/>
        <w:rPr>
          <w:rFonts w:hint="default" w:ascii="Arial" w:hAnsi="Arial" w:eastAsia="Calibri" w:cs="Arial"/>
          <w:b/>
          <w:bCs/>
          <w:sz w:val="22"/>
          <w:szCs w:val="22"/>
          <w:lang w:val="en-US" w:eastAsia="zh-CN"/>
        </w:rPr>
      </w:pPr>
      <w:r>
        <w:rPr>
          <w:rFonts w:ascii="Arial" w:hAnsi="Arial" w:eastAsia="Calibri" w:cs="Arial"/>
          <w:b/>
          <w:bCs/>
          <w:sz w:val="24"/>
          <w:szCs w:val="24"/>
          <w:lang w:val="en-US" w:eastAsia="zh-CN"/>
        </w:rPr>
        <w:t>3GPP TSG-RAN WG3 #1</w:t>
      </w:r>
      <w:r>
        <w:rPr>
          <w:rFonts w:hint="eastAsia" w:ascii="Arial" w:hAnsi="Arial" w:eastAsia="Calibri" w:cs="Arial"/>
          <w:b/>
          <w:bCs/>
          <w:sz w:val="24"/>
          <w:szCs w:val="24"/>
          <w:lang w:val="en-US" w:eastAsia="zh-CN"/>
        </w:rPr>
        <w:t>22</w:t>
      </w:r>
      <w:r>
        <w:rPr>
          <w:rFonts w:ascii="Arial" w:hAnsi="Arial" w:eastAsia="Calibri" w:cs="Arial"/>
          <w:b/>
          <w:bCs/>
          <w:sz w:val="24"/>
          <w:szCs w:val="24"/>
          <w:lang w:val="en-US" w:eastAsia="zh-CN"/>
        </w:rPr>
        <w:tab/>
      </w:r>
      <w:r>
        <w:rPr>
          <w:rFonts w:ascii="Arial" w:hAnsi="Arial" w:eastAsia="Calibri" w:cs="Arial"/>
          <w:b/>
          <w:bCs/>
          <w:sz w:val="24"/>
          <w:szCs w:val="24"/>
          <w:lang w:val="en-US" w:eastAsia="zh-CN"/>
        </w:rPr>
        <w:tab/>
      </w:r>
      <w:r>
        <w:rPr>
          <w:rFonts w:ascii="Arial" w:hAnsi="Arial" w:eastAsia="Calibri" w:cs="Arial"/>
          <w:b/>
          <w:bCs/>
          <w:sz w:val="24"/>
          <w:szCs w:val="24"/>
          <w:lang w:val="en-US" w:eastAsia="zh-CN"/>
        </w:rPr>
        <w:tab/>
      </w:r>
      <w:r>
        <w:rPr>
          <w:rFonts w:ascii="Arial" w:hAnsi="Arial" w:eastAsia="Calibri" w:cs="Arial"/>
          <w:b/>
          <w:bCs/>
          <w:sz w:val="24"/>
          <w:szCs w:val="24"/>
          <w:lang w:val="en-US" w:eastAsia="zh-CN"/>
        </w:rPr>
        <w:tab/>
      </w:r>
      <w:r>
        <w:rPr>
          <w:rFonts w:ascii="Arial" w:hAnsi="Arial" w:eastAsia="Calibri" w:cs="Arial"/>
          <w:b/>
          <w:bCs/>
          <w:sz w:val="24"/>
          <w:szCs w:val="24"/>
          <w:lang w:val="en-US" w:eastAsia="zh-CN"/>
        </w:rPr>
        <w:tab/>
      </w:r>
      <w:r>
        <w:rPr>
          <w:rFonts w:ascii="Arial" w:hAnsi="Arial" w:eastAsia="Calibri" w:cs="Arial"/>
          <w:b/>
          <w:bCs/>
          <w:sz w:val="24"/>
          <w:szCs w:val="24"/>
          <w:lang w:val="en-US" w:eastAsia="zh-CN"/>
        </w:rPr>
        <w:tab/>
      </w:r>
      <w:r>
        <w:rPr>
          <w:rFonts w:ascii="Arial" w:hAnsi="Arial" w:cs="Arial" w:eastAsiaTheme="minorEastAsia"/>
          <w:b/>
          <w:bCs/>
          <w:sz w:val="24"/>
          <w:szCs w:val="24"/>
          <w:lang w:val="en-US" w:eastAsia="zh-CN"/>
        </w:rPr>
        <w:t xml:space="preserve">                                              </w:t>
      </w:r>
      <w:r>
        <w:rPr>
          <w:rFonts w:ascii="Arial" w:hAnsi="Arial" w:eastAsia="Calibri" w:cs="Arial"/>
          <w:b/>
          <w:bCs/>
          <w:iCs/>
          <w:sz w:val="24"/>
          <w:szCs w:val="24"/>
          <w:lang w:val="en-US" w:eastAsia="zh-CN"/>
        </w:rPr>
        <w:t>R3-2</w:t>
      </w:r>
      <w:r>
        <w:rPr>
          <w:rFonts w:hint="eastAsia" w:ascii="Arial" w:hAnsi="Arial" w:cs="Arial" w:eastAsiaTheme="minorEastAsia"/>
          <w:b/>
          <w:bCs/>
          <w:iCs/>
          <w:sz w:val="24"/>
          <w:szCs w:val="24"/>
          <w:lang w:val="en-US" w:eastAsia="zh-CN"/>
        </w:rPr>
        <w:t>3</w:t>
      </w:r>
      <w:r>
        <w:rPr>
          <w:rFonts w:hint="eastAsia" w:ascii="Arial" w:hAnsi="Arial" w:eastAsia="Calibri" w:cs="Arial"/>
          <w:b/>
          <w:bCs/>
          <w:iCs/>
          <w:sz w:val="24"/>
          <w:szCs w:val="24"/>
          <w:lang w:val="en-US" w:eastAsia="zh-CN"/>
        </w:rPr>
        <w:t>7665</w:t>
      </w:r>
    </w:p>
    <w:p>
      <w:pPr>
        <w:overflowPunct w:val="0"/>
        <w:autoSpaceDE w:val="0"/>
        <w:spacing w:before="100" w:beforeAutospacing="1" w:after="120"/>
        <w:jc w:val="both"/>
        <w:textAlignment w:val="baseline"/>
        <w:rPr>
          <w:rFonts w:ascii="Arial" w:hAnsi="Arial" w:eastAsia="Batang" w:cs="Arial"/>
          <w:b/>
          <w:bCs/>
          <w:color w:val="000000"/>
          <w:sz w:val="24"/>
          <w:szCs w:val="24"/>
          <w:lang w:val="en-US" w:eastAsia="zh-CN"/>
        </w:rPr>
      </w:pPr>
      <w:r>
        <w:rPr>
          <w:rFonts w:hint="eastAsia" w:ascii="Arial" w:hAnsi="Arial" w:eastAsia="宋体" w:cs="Arial"/>
          <w:b/>
          <w:bCs/>
          <w:kern w:val="0"/>
          <w:sz w:val="24"/>
          <w:szCs w:val="24"/>
          <w:lang w:val="en-US" w:eastAsia="zh-CN"/>
        </w:rPr>
        <w:t>Chicago,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13 - 17 November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pStyle w:val="24"/>
        <w:rPr>
          <w:rFonts w:cs="Arial"/>
          <w:bCs/>
          <w:sz w:val="24"/>
        </w:rPr>
      </w:pPr>
    </w:p>
    <w:p>
      <w:pPr>
        <w:pStyle w:val="68"/>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1</w:t>
      </w:r>
      <w:r>
        <w:rPr>
          <w:rFonts w:hint="eastAsia" w:eastAsia="宋体" w:cs="Arial"/>
          <w:b/>
          <w:bCs/>
          <w:sz w:val="24"/>
          <w:lang w:val="en-US" w:eastAsia="zh-CN"/>
        </w:rPr>
        <w:t>4</w:t>
      </w:r>
      <w:r>
        <w:rPr>
          <w:rFonts w:eastAsia="宋体" w:cs="Arial"/>
          <w:b/>
          <w:bCs/>
          <w:sz w:val="24"/>
          <w:lang w:eastAsia="zh-CN"/>
        </w:rPr>
        <w:t>.</w:t>
      </w:r>
      <w:r>
        <w:rPr>
          <w:rFonts w:hint="eastAsia" w:eastAsia="宋体" w:cs="Arial"/>
          <w:b/>
          <w:bCs/>
          <w:sz w:val="24"/>
          <w:lang w:val="en-US" w:eastAsia="zh-CN"/>
        </w:rPr>
        <w:t>4</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hint="default" w:ascii="Arial" w:hAnsi="Arial" w:cs="Arial"/>
          <w:b/>
          <w:bCs/>
          <w:sz w:val="24"/>
          <w:lang w:val="en-US" w:eastAsia="zh-CN"/>
        </w:rPr>
      </w:pPr>
      <w:r>
        <w:rPr>
          <w:rFonts w:ascii="Arial" w:hAnsi="Arial" w:cs="Arial"/>
          <w:b/>
          <w:bCs/>
          <w:sz w:val="24"/>
        </w:rPr>
        <w:t>Title:</w:t>
      </w:r>
      <w:r>
        <w:rPr>
          <w:rFonts w:ascii="Arial" w:hAnsi="Arial" w:cs="Arial"/>
          <w:b/>
          <w:bCs/>
          <w:sz w:val="24"/>
        </w:rPr>
        <w:tab/>
      </w:r>
      <w:r>
        <w:rPr>
          <w:rFonts w:ascii="Arial" w:hAnsi="Arial" w:cs="Arial"/>
          <w:b/>
          <w:bCs/>
          <w:sz w:val="24"/>
          <w:lang w:eastAsia="zh-CN"/>
        </w:rPr>
        <w:t xml:space="preserve">Discussion on </w:t>
      </w:r>
      <w:r>
        <w:rPr>
          <w:rFonts w:hint="eastAsia" w:ascii="Arial" w:hAnsi="Arial" w:cs="Arial"/>
          <w:b/>
          <w:bCs/>
          <w:sz w:val="24"/>
          <w:lang w:val="en-US" w:eastAsia="zh-CN"/>
        </w:rPr>
        <w:t>remaining issues on subsequent CPAC</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numPr>
          <w:ilvl w:val="0"/>
          <w:numId w:val="3"/>
        </w:numPr>
        <w:rPr>
          <w:rFonts w:cs="Arial"/>
        </w:rPr>
      </w:pPr>
      <w:r>
        <w:rPr>
          <w:rFonts w:cs="Arial"/>
        </w:rPr>
        <w:t>Introduction</w:t>
      </w:r>
    </w:p>
    <w:p>
      <w:pPr>
        <w:jc w:val="both"/>
        <w:rPr>
          <w:rFonts w:hint="default" w:ascii="Arial" w:hAnsi="Arial" w:cs="Arial"/>
          <w:lang w:val="en-US" w:eastAsia="zh-CN"/>
        </w:rPr>
      </w:pPr>
      <w:r>
        <w:rPr>
          <w:rFonts w:hint="eastAsia" w:ascii="Arial" w:hAnsi="Arial" w:cs="Arial"/>
          <w:lang w:eastAsia="zh-CN"/>
        </w:rPr>
        <w:t>R</w:t>
      </w:r>
      <w:r>
        <w:rPr>
          <w:rFonts w:ascii="Arial" w:hAnsi="Arial" w:cs="Arial"/>
          <w:lang w:eastAsia="zh-CN"/>
        </w:rPr>
        <w:t xml:space="preserve">AN2 sends a LS [1] on </w:t>
      </w:r>
      <w:r>
        <w:rPr>
          <w:rFonts w:hint="eastAsia" w:ascii="Arial" w:hAnsi="Arial" w:cs="Arial"/>
          <w:lang w:eastAsia="zh-CN"/>
        </w:rPr>
        <w:t>RAN2 progress on subsequent CPAC</w:t>
      </w:r>
      <w:r>
        <w:rPr>
          <w:rFonts w:hint="eastAsia" w:ascii="Arial" w:hAnsi="Arial" w:cs="Arial"/>
          <w:lang w:val="en-US" w:eastAsia="zh-CN"/>
        </w:rPr>
        <w:t xml:space="preserve">, and asks RAN3 to take the agreements into account for further work and check some agreements.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120"/>
              <w:rPr>
                <w:rFonts w:ascii="Arial" w:hAnsi="Arial" w:cs="Arial"/>
                <w:b/>
              </w:rPr>
            </w:pPr>
            <w:r>
              <w:rPr>
                <w:rFonts w:ascii="Arial" w:hAnsi="Arial" w:cs="Arial"/>
                <w:b/>
              </w:rPr>
              <w:t>1. Overall Description:</w:t>
            </w:r>
          </w:p>
          <w:p>
            <w:pPr>
              <w:spacing w:after="120"/>
              <w:rPr>
                <w:rFonts w:ascii="Arial" w:hAnsi="Arial" w:cs="Arial"/>
                <w:lang w:eastAsia="en-GB"/>
              </w:rPr>
            </w:pPr>
            <w:r>
              <w:rPr>
                <w:rFonts w:ascii="Arial" w:hAnsi="Arial" w:cs="Arial"/>
                <w:lang w:eastAsia="en-GB"/>
              </w:rPr>
              <w:t xml:space="preserve">RAN2 would like </w:t>
            </w:r>
            <w:r>
              <w:rPr>
                <w:rFonts w:hint="eastAsia" w:ascii="Arial" w:hAnsi="Arial" w:cs="Arial"/>
                <w:lang w:val="en-US" w:eastAsia="zh-CN"/>
              </w:rPr>
              <w:t xml:space="preserve">to </w:t>
            </w:r>
            <w:r>
              <w:rPr>
                <w:rFonts w:ascii="Arial" w:hAnsi="Arial" w:cs="Arial"/>
                <w:lang w:eastAsia="en-GB"/>
              </w:rPr>
              <w:t xml:space="preserve">inform the agreements </w:t>
            </w:r>
            <w:r>
              <w:rPr>
                <w:rFonts w:hint="eastAsia" w:ascii="Arial" w:hAnsi="Arial" w:eastAsia="宋体" w:cs="Arial"/>
                <w:lang w:val="en-US" w:eastAsia="zh-CN"/>
              </w:rPr>
              <w:t xml:space="preserve">on subsequent CPAC </w:t>
            </w:r>
            <w:r>
              <w:rPr>
                <w:rFonts w:ascii="Arial" w:hAnsi="Arial" w:cs="Arial"/>
                <w:lang w:eastAsia="en-GB"/>
              </w:rPr>
              <w:t>achieved in RAN2#123</w:t>
            </w:r>
            <w:r>
              <w:rPr>
                <w:rFonts w:hint="eastAsia" w:ascii="Arial" w:hAnsi="Arial" w:cs="Arial"/>
                <w:lang w:val="en-US" w:eastAsia="zh-CN"/>
              </w:rPr>
              <w:t>-</w:t>
            </w:r>
            <w:r>
              <w:rPr>
                <w:rFonts w:hint="eastAsia" w:ascii="Arial" w:hAnsi="Arial" w:eastAsia="宋体" w:cs="Arial"/>
                <w:lang w:val="en-US" w:eastAsia="zh-CN"/>
              </w:rPr>
              <w:t>bis</w:t>
            </w:r>
            <w:r>
              <w:rPr>
                <w:rFonts w:ascii="Arial" w:hAnsi="Arial" w:cs="Arial"/>
                <w:lang w:eastAsia="en-GB"/>
              </w:rPr>
              <w:t xml:space="preserve"> meeting</w:t>
            </w:r>
            <w:r>
              <w:rPr>
                <w:rFonts w:hint="eastAsia" w:ascii="Arial" w:hAnsi="Arial" w:eastAsia="宋体" w:cs="Arial"/>
                <w:lang w:val="en-US" w:eastAsia="zh-CN"/>
              </w:rPr>
              <w:t xml:space="preserve"> (based on the discussion for R2-2309831)</w:t>
            </w:r>
            <w:r>
              <w:rPr>
                <w:rFonts w:ascii="Arial" w:hAnsi="Arial" w:cs="Arial"/>
                <w:lang w:eastAsia="en-GB"/>
              </w:rPr>
              <w:t>:</w:t>
            </w:r>
          </w:p>
          <w:p>
            <w:pPr>
              <w:spacing w:before="60"/>
              <w:rPr>
                <w:rFonts w:hint="default" w:ascii="Arial" w:hAnsi="Arial" w:eastAsia="宋体"/>
                <w:bCs/>
                <w:i/>
                <w:iCs/>
                <w:szCs w:val="24"/>
                <w:highlight w:val="yellow"/>
                <w:lang w:val="en-US" w:eastAsia="zh-CN"/>
              </w:rPr>
            </w:pPr>
            <w:r>
              <w:rPr>
                <w:rFonts w:hint="eastAsia" w:ascii="Arial" w:hAnsi="Arial"/>
                <w:bCs/>
                <w:i/>
                <w:iCs/>
                <w:szCs w:val="24"/>
                <w:highlight w:val="yellow"/>
                <w:lang w:val="en-US" w:eastAsia="zh-CN"/>
              </w:rPr>
              <w:t>&lt;RAN2 agreements are omitted&gt;</w:t>
            </w:r>
          </w:p>
          <w:p>
            <w:pPr>
              <w:spacing w:before="60"/>
              <w:rPr>
                <w:rFonts w:ascii="Arial" w:hAnsi="Arial" w:eastAsia="宋体"/>
                <w:bCs/>
                <w:szCs w:val="24"/>
                <w:lang w:val="en-US" w:eastAsia="zh-CN"/>
              </w:rPr>
            </w:pPr>
            <w:r>
              <w:rPr>
                <w:rFonts w:hint="eastAsia" w:ascii="Arial" w:hAnsi="Arial" w:eastAsia="宋体"/>
                <w:bCs/>
                <w:szCs w:val="24"/>
                <w:lang w:val="en-US" w:eastAsia="zh-CN"/>
              </w:rPr>
              <w:t>Regarding the following agreements:</w:t>
            </w:r>
          </w:p>
          <w:p>
            <w:pPr>
              <w:numPr>
                <w:ilvl w:val="0"/>
                <w:numId w:val="1"/>
              </w:numPr>
              <w:spacing w:before="60"/>
              <w:rPr>
                <w:rFonts w:ascii="Arial" w:hAnsi="Arial" w:eastAsia="MS Mincho" w:cs="Arial"/>
                <w:b/>
                <w:szCs w:val="24"/>
                <w:lang w:val="en-US" w:eastAsia="en-GB"/>
              </w:rPr>
            </w:pPr>
            <w:r>
              <w:rPr>
                <w:rFonts w:ascii="Arial" w:hAnsi="Arial" w:eastAsia="MS Mincho" w:cs="Arial"/>
                <w:b/>
                <w:szCs w:val="24"/>
                <w:lang w:val="en-US" w:eastAsia="en-GB"/>
              </w:rPr>
              <w:t>For one UE, for CPC only either MN format or SN format (only intra-SN case is possible) is used</w:t>
            </w:r>
          </w:p>
          <w:p>
            <w:pPr>
              <w:numPr>
                <w:ilvl w:val="0"/>
                <w:numId w:val="1"/>
              </w:numPr>
              <w:spacing w:before="60"/>
              <w:rPr>
                <w:rFonts w:ascii="Arial" w:hAnsi="Arial" w:eastAsia="MS Mincho" w:cs="Arial"/>
                <w:b/>
                <w:szCs w:val="24"/>
                <w:lang w:val="en-US" w:eastAsia="en-GB"/>
              </w:rPr>
            </w:pPr>
            <w:r>
              <w:rPr>
                <w:rFonts w:ascii="Arial" w:hAnsi="Arial" w:eastAsia="MS Mincho" w:cs="Arial"/>
                <w:b/>
                <w:szCs w:val="24"/>
                <w:lang w:val="en-US" w:eastAsia="en-GB"/>
              </w:rPr>
              <w:t xml:space="preserve">MN format is supported for intra-SN (in addition to SN format) </w:t>
            </w:r>
          </w:p>
          <w:p>
            <w:pPr>
              <w:spacing w:before="60"/>
              <w:rPr>
                <w:rFonts w:hint="eastAsia" w:ascii="Arial" w:hAnsi="Arial" w:eastAsia="宋体"/>
                <w:bCs/>
                <w:szCs w:val="24"/>
                <w:lang w:val="en-US" w:eastAsia="zh-CN"/>
              </w:rPr>
            </w:pPr>
            <w:r>
              <w:rPr>
                <w:rFonts w:hint="eastAsia" w:ascii="Arial" w:hAnsi="Arial" w:eastAsia="宋体"/>
                <w:bCs/>
                <w:szCs w:val="24"/>
                <w:lang w:val="en-US" w:eastAsia="zh-CN"/>
              </w:rPr>
              <w:t xml:space="preserve">RAN2 thinks that the MN format is used to configure subsequent CPAC if both inter-SN CPC candidate cells and intra-SN CPC candidate cells are configured for one UE simultaneously. If only intra-SN subsequent CPAC is configured, it can be up to the NW implementation which format is used, i.e., SN format or MN format. </w:t>
            </w:r>
          </w:p>
          <w:p>
            <w:pPr>
              <w:spacing w:before="60"/>
              <w:rPr>
                <w:rFonts w:ascii="Arial" w:hAnsi="Arial" w:cs="Arial"/>
                <w:lang w:eastAsia="zh-CN"/>
              </w:rPr>
            </w:pPr>
            <w:r>
              <w:rPr>
                <w:rFonts w:hint="eastAsia" w:ascii="Arial" w:hAnsi="Arial" w:eastAsia="宋体"/>
                <w:bCs/>
                <w:szCs w:val="24"/>
                <w:lang w:val="en-US" w:eastAsia="zh-CN"/>
              </w:rPr>
              <w:t xml:space="preserve">RAN2 assumes that </w:t>
            </w:r>
            <w:r>
              <w:rPr>
                <w:rFonts w:hint="eastAsia" w:ascii="Arial" w:hAnsi="Arial" w:eastAsia="宋体" w:cs="Times New Roman"/>
                <w:bCs/>
                <w:szCs w:val="24"/>
                <w:lang w:val="en-US" w:eastAsia="zh-CN"/>
              </w:rPr>
              <w:t xml:space="preserve">these </w:t>
            </w:r>
            <w:r>
              <w:rPr>
                <w:rFonts w:hint="eastAsia" w:ascii="Arial" w:hAnsi="Arial" w:eastAsia="宋体"/>
                <w:bCs/>
                <w:szCs w:val="24"/>
                <w:lang w:val="en-US" w:eastAsia="zh-CN"/>
              </w:rPr>
              <w:t>agreements shall require RAN3 work on inter-node coordination to ensure that the subsequent CPAC configurations for all CPC candidate cells for one UE are provided in only one format.</w:t>
            </w:r>
            <w:r>
              <w:rPr>
                <w:rFonts w:ascii="Arial" w:hAnsi="Arial" w:cs="Arial"/>
                <w:lang w:eastAsia="zh-CN"/>
              </w:rPr>
              <w:t xml:space="preserve"> </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RAN3</w:t>
            </w:r>
          </w:p>
          <w:p>
            <w:pPr>
              <w:spacing w:after="120"/>
              <w:ind w:left="993" w:hanging="993"/>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 xml:space="preserve">RAN3 </w:t>
            </w:r>
            <w:r>
              <w:rPr>
                <w:rFonts w:ascii="Arial" w:hAnsi="Arial" w:cs="Arial"/>
              </w:rPr>
              <w:t xml:space="preserve">to </w:t>
            </w:r>
            <w:r>
              <w:rPr>
                <w:rFonts w:ascii="Arial" w:hAnsi="Arial" w:eastAsia="Malgun Gothic"/>
                <w:iCs/>
                <w:lang w:val="en-US"/>
              </w:rPr>
              <w:t>take the above agreements into account for your further corresponding work</w:t>
            </w:r>
            <w:r>
              <w:rPr>
                <w:rFonts w:ascii="Arial" w:hAnsi="Arial" w:cs="Arial"/>
              </w:rPr>
              <w:t>.</w:t>
            </w:r>
          </w:p>
        </w:tc>
      </w:tr>
    </w:tbl>
    <w:p>
      <w:pPr>
        <w:rPr>
          <w:rFonts w:ascii="Arial" w:hAnsi="Arial" w:cs="Arial"/>
          <w:lang w:eastAsia="zh-CN"/>
        </w:rPr>
      </w:pPr>
      <w:r>
        <w:rPr>
          <w:rFonts w:ascii="Arial" w:hAnsi="Arial" w:cs="Arial"/>
          <w:lang w:eastAsia="zh-CN"/>
        </w:rPr>
        <w:t xml:space="preserve">This contribution </w:t>
      </w:r>
      <w:r>
        <w:rPr>
          <w:rFonts w:hint="eastAsia" w:ascii="Arial" w:hAnsi="Arial" w:cs="Arial"/>
          <w:lang w:val="en-US" w:eastAsia="zh-CN"/>
        </w:rPr>
        <w:t>will discuss</w:t>
      </w:r>
      <w:r>
        <w:rPr>
          <w:rFonts w:ascii="Arial" w:hAnsi="Arial" w:cs="Arial"/>
          <w:lang w:eastAsia="zh-CN"/>
        </w:rPr>
        <w:t xml:space="preserve"> on the work needed to be done in RAN3</w:t>
      </w:r>
      <w:r>
        <w:rPr>
          <w:rFonts w:hint="eastAsia" w:ascii="Arial" w:hAnsi="Arial" w:cs="Arial"/>
          <w:lang w:val="en-US" w:eastAsia="zh-CN"/>
        </w:rPr>
        <w:t xml:space="preserve"> on subsequent CPAC</w:t>
      </w:r>
      <w:r>
        <w:rPr>
          <w:rFonts w:ascii="Arial" w:hAnsi="Arial" w:cs="Arial"/>
          <w:lang w:eastAsia="zh-CN"/>
        </w:rPr>
        <w:t>.</w:t>
      </w:r>
    </w:p>
    <w:p>
      <w:pPr>
        <w:pStyle w:val="2"/>
        <w:rPr>
          <w:rFonts w:cs="Arial"/>
          <w:lang w:eastAsia="zh-CN"/>
        </w:rPr>
      </w:pPr>
      <w:r>
        <w:rPr>
          <w:rFonts w:cs="Arial"/>
          <w:lang w:eastAsia="zh-CN"/>
        </w:rPr>
        <w:t>2</w:t>
      </w:r>
      <w:r>
        <w:rPr>
          <w:rFonts w:cs="Arial"/>
        </w:rPr>
        <w:tab/>
      </w:r>
      <w:r>
        <w:rPr>
          <w:rFonts w:cs="Arial"/>
        </w:rPr>
        <w:t>Discussion</w:t>
      </w:r>
    </w:p>
    <w:p>
      <w:pPr>
        <w:pStyle w:val="3"/>
        <w:rPr>
          <w:rFonts w:hint="default" w:cs="Arial"/>
          <w:sz w:val="28"/>
          <w:szCs w:val="18"/>
          <w:lang w:val="en-US" w:eastAsia="zh-CN"/>
        </w:rPr>
      </w:pPr>
      <w:r>
        <w:rPr>
          <w:rFonts w:hint="eastAsia" w:cs="Arial"/>
          <w:sz w:val="28"/>
          <w:szCs w:val="18"/>
          <w:lang w:eastAsia="zh-CN"/>
        </w:rPr>
        <w:t>2</w:t>
      </w:r>
      <w:r>
        <w:rPr>
          <w:rFonts w:cs="Arial"/>
          <w:sz w:val="28"/>
          <w:szCs w:val="18"/>
          <w:lang w:eastAsia="zh-CN"/>
        </w:rPr>
        <w:t xml:space="preserve">.1 </w:t>
      </w:r>
      <w:r>
        <w:rPr>
          <w:rFonts w:hint="eastAsia" w:cs="Arial"/>
          <w:sz w:val="28"/>
          <w:szCs w:val="18"/>
          <w:lang w:val="en-US" w:eastAsia="zh-CN"/>
        </w:rPr>
        <w:t>Coexistence of intra-SN and inter-SN S-CPAC</w:t>
      </w:r>
    </w:p>
    <w:p>
      <w:pPr>
        <w:jc w:val="both"/>
        <w:rPr>
          <w:rFonts w:hint="eastAsia" w:ascii="Arial" w:hAnsi="Arial" w:cs="Arial"/>
          <w:lang w:val="en-US" w:eastAsia="zh-CN"/>
        </w:rPr>
      </w:pPr>
      <w:r>
        <w:rPr>
          <w:rFonts w:hint="eastAsia" w:ascii="Arial" w:hAnsi="Arial" w:cs="Arial"/>
          <w:lang w:val="en-US" w:eastAsia="zh-CN"/>
        </w:rPr>
        <w:t xml:space="preserve">In last meeting, RAN2 discussed the understanding on previous WA </w:t>
      </w:r>
      <w:r>
        <w:rPr>
          <w:rFonts w:hint="default" w:ascii="Arial" w:hAnsi="Arial" w:cs="Arial"/>
          <w:lang w:val="en-US" w:eastAsia="zh-CN"/>
        </w:rPr>
        <w:t>“</w:t>
      </w:r>
      <w:r>
        <w:rPr>
          <w:rFonts w:hint="eastAsia" w:ascii="Arial" w:hAnsi="Arial" w:cs="Arial"/>
          <w:lang w:val="en-US" w:eastAsia="zh-CN"/>
        </w:rPr>
        <w:t>there is only one reference configuration</w:t>
      </w:r>
      <w:r>
        <w:rPr>
          <w:rFonts w:hint="default" w:ascii="Arial" w:hAnsi="Arial" w:cs="Arial"/>
          <w:lang w:val="en-US" w:eastAsia="zh-CN"/>
        </w:rPr>
        <w:t>”</w:t>
      </w:r>
      <w:r>
        <w:rPr>
          <w:rFonts w:hint="eastAsia" w:ascii="Arial" w:hAnsi="Arial" w:cs="Arial"/>
          <w:lang w:val="en-US" w:eastAsia="zh-CN"/>
        </w:rPr>
        <w:t xml:space="preserve"> for subsequent CPAC and achieved the following agreements.</w:t>
      </w:r>
    </w:p>
    <w:p>
      <w:pPr>
        <w:numPr>
          <w:ilvl w:val="0"/>
          <w:numId w:val="1"/>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For one UE, for CPC only either MN format or SN format (only intra-SN case is possible) is used</w:t>
      </w:r>
    </w:p>
    <w:p>
      <w:pPr>
        <w:numPr>
          <w:ilvl w:val="0"/>
          <w:numId w:val="1"/>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 xml:space="preserve">MN format is supported for intra-SN (in addition to SN format) </w:t>
      </w:r>
    </w:p>
    <w:p>
      <w:pPr>
        <w:jc w:val="both"/>
        <w:rPr>
          <w:rFonts w:hint="default" w:ascii="Arial" w:hAnsi="Arial" w:cs="Arial"/>
          <w:lang w:val="en-US" w:eastAsia="zh-CN"/>
        </w:rPr>
      </w:pPr>
      <w:r>
        <w:rPr>
          <w:rFonts w:hint="eastAsia" w:ascii="Arial" w:hAnsi="Arial" w:cs="Arial"/>
          <w:lang w:val="en-US" w:eastAsia="zh-CN"/>
        </w:rPr>
        <w:t>For one UE, if both inter-SN and intra-SN CPC candidate cells are configured simultaneously, MN format is used to configure subsequent CPAC. And if only intra-SN subsequent CPAC is configured, it can be up to the NW implementation which format is used, i.e., SN format or MN format.</w:t>
      </w:r>
    </w:p>
    <w:p>
      <w:pPr>
        <w:jc w:val="both"/>
        <w:rPr>
          <w:rFonts w:hint="eastAsia" w:ascii="Arial" w:hAnsi="Arial" w:cs="Arial"/>
          <w:lang w:val="en-US" w:eastAsia="zh-CN"/>
        </w:rPr>
      </w:pPr>
      <w:r>
        <w:rPr>
          <w:rFonts w:hint="eastAsia" w:ascii="Arial" w:hAnsi="Arial" w:cs="Arial"/>
          <w:lang w:val="en-US" w:eastAsia="zh-CN"/>
        </w:rPr>
        <w:t xml:space="preserve">In legacy CPC procedure as specified in TS 37.340 [2],  intra-SN CPC without MN involvement and inter-SN CPC initiated either by MN or SN are supported. </w:t>
      </w:r>
    </w:p>
    <w:p>
      <w:pPr>
        <w:ind w:leftChars="100"/>
        <w:jc w:val="both"/>
        <w:rPr>
          <w:rFonts w:hint="eastAsia" w:ascii="Arial" w:hAnsi="Arial" w:cs="Arial"/>
          <w:lang w:val="en-US" w:eastAsia="zh-CN"/>
        </w:rPr>
      </w:pPr>
      <w:r>
        <w:rPr>
          <w:rFonts w:hint="eastAsia" w:ascii="Arial" w:hAnsi="Arial" w:cs="Arial"/>
          <w:lang w:val="en-US" w:eastAsia="zh-CN"/>
        </w:rPr>
        <w:t xml:space="preserve">- For SN-initiated intra-SN CPC (as illustrated in Fig.1), MN is not aware of SN-initiated intra-SN procedure, and SN format for candidate cells is used. </w:t>
      </w:r>
    </w:p>
    <w:p>
      <w:pPr>
        <w:ind w:leftChars="100"/>
        <w:jc w:val="both"/>
        <w:rPr>
          <w:rFonts w:hint="default" w:ascii="Arial" w:hAnsi="Arial" w:cs="Arial"/>
          <w:lang w:val="en-US" w:eastAsia="zh-CN"/>
        </w:rPr>
      </w:pPr>
      <w:r>
        <w:rPr>
          <w:rFonts w:hint="eastAsia" w:ascii="Arial" w:hAnsi="Arial" w:cs="Arial"/>
          <w:lang w:val="en-US" w:eastAsia="zh-CN"/>
        </w:rPr>
        <w:t>- For MN-initiated inter-SN CPC, SN is also not aware of this procedure, since MN will not request source SN to configure candidate PSCells for this procedure. Although MN may trigger the MN-initiated SN Modification procedure (to the source SN) to retrieve the current SCG configuration for delta configuration, we cannot assume that this procedure always means MN initiates inter-SN CPC procedure. In this scenario, MN format for candidate cells is used.</w:t>
      </w:r>
    </w:p>
    <w:p>
      <w:pPr>
        <w:ind w:leftChars="100"/>
        <w:jc w:val="both"/>
        <w:rPr>
          <w:rFonts w:hint="default" w:ascii="Arial" w:hAnsi="Arial" w:cs="Arial"/>
          <w:lang w:val="en-US" w:eastAsia="zh-CN"/>
        </w:rPr>
      </w:pPr>
      <w:r>
        <w:rPr>
          <w:rFonts w:hint="eastAsia" w:ascii="Arial" w:hAnsi="Arial" w:cs="Arial"/>
          <w:lang w:val="en-US" w:eastAsia="zh-CN"/>
        </w:rPr>
        <w:t>- For SN-initiated inter-SN CPC, MN is involved and can be aware of this procedure, since source SN will send the SN Change Required message which contains a CPC initiation indication to MN, and MN sends the RRC Reconfiguration to the UE. In this scenario, MN format for candidate cells is used.</w:t>
      </w:r>
    </w:p>
    <w:p>
      <w:pPr>
        <w:jc w:val="center"/>
      </w:pPr>
      <w:r>
        <w:drawing>
          <wp:inline distT="0" distB="0" distL="114300" distR="114300">
            <wp:extent cx="5291455" cy="2248535"/>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rcRect b="13444"/>
                    <a:stretch>
                      <a:fillRect/>
                    </a:stretch>
                  </pic:blipFill>
                  <pic:spPr>
                    <a:xfrm>
                      <a:off x="0" y="0"/>
                      <a:ext cx="5291455" cy="2248535"/>
                    </a:xfrm>
                    <a:prstGeom prst="rect">
                      <a:avLst/>
                    </a:prstGeom>
                    <a:noFill/>
                    <a:ln>
                      <a:noFill/>
                    </a:ln>
                  </pic:spPr>
                </pic:pic>
              </a:graphicData>
            </a:graphic>
          </wp:inline>
        </w:drawing>
      </w:r>
    </w:p>
    <w:p>
      <w:pPr>
        <w:jc w:val="center"/>
        <w:rPr>
          <w:rFonts w:hint="default" w:ascii="Arial" w:hAnsi="Arial" w:eastAsia="宋体" w:cs="Arial"/>
          <w:lang w:val="en-US" w:eastAsia="zh-CN"/>
        </w:rPr>
      </w:pPr>
      <w:r>
        <w:rPr>
          <w:rFonts w:hint="default" w:ascii="Arial" w:hAnsi="Arial" w:cs="Arial"/>
          <w:lang w:val="en-US" w:eastAsia="zh-CN"/>
        </w:rPr>
        <w:t>Figure 1. SN initiated intra-SN CPC without MN involvement</w:t>
      </w:r>
      <w:r>
        <w:rPr>
          <w:rFonts w:hint="eastAsia" w:ascii="Arial" w:hAnsi="Arial" w:cs="Arial"/>
          <w:lang w:val="en-US" w:eastAsia="zh-CN"/>
        </w:rPr>
        <w:t xml:space="preserve"> [2]</w:t>
      </w:r>
    </w:p>
    <w:p>
      <w:pPr>
        <w:jc w:val="both"/>
        <w:rPr>
          <w:rFonts w:hint="default" w:ascii="Arial" w:hAnsi="Arial" w:eastAsia="宋体" w:cs="Arial"/>
          <w:lang w:val="en-US" w:eastAsia="zh-CN"/>
        </w:rPr>
      </w:pPr>
      <w:r>
        <w:rPr>
          <w:rFonts w:hint="eastAsia" w:ascii="Arial" w:hAnsi="Arial" w:eastAsia="宋体" w:cs="Arial"/>
          <w:lang w:val="en-US" w:eastAsia="zh-CN"/>
        </w:rPr>
        <w:t>During the discussion on R18 subsequent CPAC, RAN2 has agreed that the source SN can be configured as a candidate SN and RAN3 agreed that MN can use SN Modification Request to configure source SN as candidate in the initial preparation before sending the S-CPAC RRC configuration to UE.</w:t>
      </w:r>
      <w:r>
        <w:rPr>
          <w:rFonts w:hint="eastAsia" w:ascii="Arial" w:hAnsi="Arial" w:cs="Arial"/>
          <w:lang w:val="en-US" w:eastAsia="zh-CN"/>
        </w:rPr>
        <w:t xml:space="preserve"> In this case, SN will be aware of MN-initiated S-CPAC procedure. However, if source SN is not configured as a candidate SN, it cannot know the S-CPAC procedure is initiated by MN.</w:t>
      </w:r>
    </w:p>
    <w:tbl>
      <w:tblPr>
        <w:tblStyle w:val="2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4" w:type="dxa"/>
          </w:tcPr>
          <w:p>
            <w:pPr>
              <w:jc w:val="both"/>
              <w:rPr>
                <w:rFonts w:hint="default" w:ascii="Arial" w:hAnsi="Arial" w:cs="Arial"/>
                <w:b/>
                <w:color w:val="008000"/>
                <w:sz w:val="18"/>
                <w:szCs w:val="20"/>
              </w:rPr>
            </w:pPr>
            <w:r>
              <w:rPr>
                <w:rFonts w:hint="default" w:ascii="Arial" w:hAnsi="Arial" w:cs="Arial"/>
                <w:b/>
                <w:bCs/>
                <w:color w:val="008000"/>
                <w:sz w:val="18"/>
                <w:szCs w:val="20"/>
              </w:rPr>
              <w:t>Assuming UE is in DC, MN can prepare the source SN as a candidate SN for the inter-SN S-CPAC in the following case(s):</w:t>
            </w:r>
          </w:p>
          <w:p>
            <w:pPr>
              <w:numPr>
                <w:ilvl w:val="0"/>
                <w:numId w:val="4"/>
              </w:numPr>
              <w:overflowPunct w:val="0"/>
              <w:autoSpaceDE w:val="0"/>
              <w:autoSpaceDN/>
              <w:adjustRightInd w:val="0"/>
              <w:spacing w:after="100" w:afterAutospacing="1"/>
              <w:jc w:val="both"/>
              <w:textAlignment w:val="baseline"/>
              <w:rPr>
                <w:rFonts w:hint="default" w:ascii="Arial" w:hAnsi="Arial" w:eastAsia="宋体" w:cs="Arial"/>
                <w:vertAlign w:val="baseline"/>
                <w:lang w:val="en-US" w:eastAsia="zh-CN"/>
              </w:rPr>
            </w:pPr>
            <w:r>
              <w:rPr>
                <w:rStyle w:val="83"/>
                <w:rFonts w:hint="default" w:ascii="Arial" w:hAnsi="Arial" w:cs="Arial"/>
                <w:b/>
                <w:color w:val="008000"/>
                <w:sz w:val="18"/>
                <w:szCs w:val="20"/>
                <w:u w:val="none"/>
              </w:rPr>
              <w:t>Case 1: Using SN MOD REQ, in the initial preparation before sending the S-CPAC RRC configuration to UE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Arial" w:hAnsi="Arial" w:eastAsia="宋体" w:cs="Arial"/>
          <w:lang w:val="en-US" w:eastAsia="zh-CN"/>
        </w:rPr>
      </w:pPr>
      <w:r>
        <w:rPr>
          <w:rFonts w:hint="eastAsia" w:ascii="Arial" w:hAnsi="Arial" w:eastAsia="宋体" w:cs="Arial"/>
          <w:lang w:val="en-US" w:eastAsia="zh-CN"/>
        </w:rPr>
        <w:t xml:space="preserve">Based on the above analysis and RAN2 agreements, we understand that </w:t>
      </w:r>
      <w:r>
        <w:rPr>
          <w:rFonts w:hint="eastAsia" w:ascii="Arial" w:hAnsi="Arial" w:cs="Arial"/>
          <w:lang w:val="en-US" w:eastAsia="zh-CN"/>
        </w:rPr>
        <w:t xml:space="preserve">inter-node coordination between MN and SN to support the coexistence of intra-SN and inter-SN subsequent CPAC is needed, that is, </w:t>
      </w:r>
      <w:r>
        <w:rPr>
          <w:rFonts w:hint="eastAsia" w:ascii="Arial" w:hAnsi="Arial" w:eastAsia="宋体" w:cs="Arial"/>
          <w:lang w:val="en-US" w:eastAsia="zh-CN"/>
        </w:rPr>
        <w:t>MN needs to know whether SN initiates intra-SN procedure, and SN needs to know whether MN initiates inter-SN procedure. So that the network can decide which format (i.e. MN format or SN format) can be used for candidate cells for subsequent CPAC.</w:t>
      </w:r>
      <w:r>
        <w:rPr>
          <w:rFonts w:hint="eastAsia" w:ascii="Arial" w:hAnsi="Arial" w:cs="Arial"/>
          <w:lang w:val="en-US" w:eastAsia="zh-CN"/>
        </w:rPr>
        <w:t xml:space="preserve"> </w:t>
      </w:r>
    </w:p>
    <w:p>
      <w:pPr>
        <w:jc w:val="both"/>
        <w:rPr>
          <w:rFonts w:hint="default" w:ascii="Arial" w:hAnsi="Arial" w:cs="Arial"/>
          <w:b/>
          <w:bCs/>
          <w:lang w:val="en-US" w:eastAsia="zh-CN"/>
        </w:rPr>
      </w:pPr>
      <w:r>
        <w:rPr>
          <w:rFonts w:hint="eastAsia" w:ascii="Arial" w:hAnsi="Arial" w:cs="Arial"/>
          <w:b/>
          <w:bCs/>
          <w:lang w:val="en-US" w:eastAsia="zh-CN"/>
        </w:rPr>
        <w:t>Observation 1: Inter-node coordination between MN and SN to support the coexistence of intra-SN and inter-SN subsequent CPAC is needed based on RAN2 agreements.</w:t>
      </w:r>
    </w:p>
    <w:p>
      <w:pPr>
        <w:jc w:val="both"/>
        <w:rPr>
          <w:rFonts w:hint="default" w:ascii="Arial" w:hAnsi="Arial" w:cs="Arial"/>
          <w:lang w:val="en-US" w:eastAsia="zh-CN"/>
        </w:rPr>
      </w:pPr>
      <w:r>
        <w:rPr>
          <w:rFonts w:hint="eastAsia" w:ascii="Arial" w:hAnsi="Arial" w:eastAsia="宋体" w:cs="Arial"/>
          <w:lang w:val="en-US" w:eastAsia="zh-CN"/>
        </w:rPr>
        <w:t xml:space="preserve">Specially, </w:t>
      </w:r>
      <w:r>
        <w:rPr>
          <w:rFonts w:hint="eastAsia" w:ascii="Arial" w:hAnsi="Arial" w:cs="Arial"/>
          <w:lang w:val="en-US" w:eastAsia="zh-CN"/>
        </w:rPr>
        <w:t>when</w:t>
      </w:r>
      <w:r>
        <w:rPr>
          <w:rFonts w:hint="eastAsia" w:ascii="Arial" w:hAnsi="Arial" w:eastAsia="宋体" w:cs="Arial"/>
          <w:lang w:val="en-US" w:eastAsia="zh-CN"/>
        </w:rPr>
        <w:t xml:space="preserve"> SN initiates intra-SN subsequent CPAC procedure, SN</w:t>
      </w:r>
      <w:r>
        <w:rPr>
          <w:rFonts w:hint="eastAsia" w:ascii="Arial" w:hAnsi="Arial" w:cs="Arial"/>
          <w:lang w:val="en-US" w:eastAsia="zh-CN"/>
        </w:rPr>
        <w:t xml:space="preserve"> should indicate it to MN via SN Modification Required message. If MN is going to trigger inter-SN S-CPAC procedure, MN can indicate the inter-SN S-CPAC procedure and may send reference configuration to SN for both intra-SN and inter-SN S-CPAC via SN Modification Confirm message. If MN is not going to trigger inter-SN S-CPAC procedure, MN can decide or indicate whether MN format or SN format will be used for intra-SN S-CPAC procedure. For example, if MN sends reference configuration to SN, MN format will be used, and if reference configuration is not provided to SN, SN format will be used for intra-SN S-CPAC. </w:t>
      </w:r>
    </w:p>
    <w:p>
      <w:pPr>
        <w:jc w:val="both"/>
        <w:rPr>
          <w:rFonts w:hint="eastAsia" w:ascii="Arial" w:hAnsi="Arial" w:cs="Arial"/>
          <w:lang w:val="en-US" w:eastAsia="zh-CN"/>
        </w:rPr>
      </w:pPr>
      <w:r>
        <w:rPr>
          <w:rFonts w:hint="eastAsia" w:ascii="Arial" w:hAnsi="Arial" w:cs="Arial"/>
          <w:lang w:val="en-US" w:eastAsia="zh-CN"/>
        </w:rPr>
        <w:t>Similarly, when M</w:t>
      </w:r>
      <w:r>
        <w:rPr>
          <w:rFonts w:hint="eastAsia" w:ascii="Arial" w:hAnsi="Arial" w:eastAsia="宋体" w:cs="Arial"/>
          <w:lang w:val="en-US" w:eastAsia="zh-CN"/>
        </w:rPr>
        <w:t>N initiates int</w:t>
      </w:r>
      <w:r>
        <w:rPr>
          <w:rFonts w:hint="eastAsia" w:ascii="Arial" w:hAnsi="Arial" w:cs="Arial"/>
          <w:lang w:val="en-US" w:eastAsia="zh-CN"/>
        </w:rPr>
        <w:t>er</w:t>
      </w:r>
      <w:r>
        <w:rPr>
          <w:rFonts w:hint="eastAsia" w:ascii="Arial" w:hAnsi="Arial" w:eastAsia="宋体" w:cs="Arial"/>
          <w:lang w:val="en-US" w:eastAsia="zh-CN"/>
        </w:rPr>
        <w:t xml:space="preserve">-SN subsequent CPAC procedure, </w:t>
      </w:r>
      <w:r>
        <w:rPr>
          <w:rFonts w:hint="eastAsia" w:ascii="Arial" w:hAnsi="Arial" w:cs="Arial"/>
          <w:lang w:val="en-US" w:eastAsia="zh-CN"/>
        </w:rPr>
        <w:t>M</w:t>
      </w:r>
      <w:r>
        <w:rPr>
          <w:rFonts w:hint="eastAsia" w:ascii="Arial" w:hAnsi="Arial" w:eastAsia="宋体" w:cs="Arial"/>
          <w:lang w:val="en-US" w:eastAsia="zh-CN"/>
        </w:rPr>
        <w:t xml:space="preserve">N </w:t>
      </w:r>
      <w:r>
        <w:rPr>
          <w:rFonts w:hint="eastAsia" w:ascii="Arial" w:hAnsi="Arial" w:cs="Arial"/>
          <w:lang w:val="en-US" w:eastAsia="zh-CN"/>
        </w:rPr>
        <w:t>can indicate it to SN via SN Modification Request message, and reference configuration can be also included. If SN is going to trigger intra-SN S-CPAC procedure, SN can use the reference configuration received from MN, and inform MN about intra-SN S-CPAC via SN Modification Request Acknowledge message. Therefore, MN format can be used for intra-SN and inter-SN S-CPAC procedure.</w:t>
      </w:r>
    </w:p>
    <w:p>
      <w:pPr>
        <w:jc w:val="both"/>
        <w:rPr>
          <w:rFonts w:hint="default" w:ascii="Arial" w:hAnsi="Arial" w:cs="Arial"/>
          <w:lang w:val="en-US" w:eastAsia="zh-CN"/>
        </w:rPr>
      </w:pPr>
      <w:r>
        <w:rPr>
          <w:rFonts w:hint="eastAsia" w:ascii="Arial" w:hAnsi="Arial" w:cs="Arial"/>
          <w:lang w:val="en-US" w:eastAsia="zh-CN"/>
        </w:rPr>
        <w:t>Therefore, a new indication should be introduced to indicate that SN triggers intra-SN subsequent CPAC procedure to MN, and another new indication is introduced to indicate that MN triggers inter-SN subsequent CPAC procedure to SN, to support the coexistence of intra-SN and inter-SN subsequent CPAC.</w:t>
      </w:r>
    </w:p>
    <w:p>
      <w:pPr>
        <w:jc w:val="both"/>
        <w:rPr>
          <w:rFonts w:hint="default" w:ascii="Arial" w:hAnsi="Arial" w:cs="Arial"/>
          <w:b/>
          <w:bCs/>
          <w:lang w:val="en-US" w:eastAsia="zh-CN"/>
        </w:rPr>
      </w:pPr>
      <w:r>
        <w:rPr>
          <w:rFonts w:hint="eastAsia" w:ascii="Arial" w:hAnsi="Arial" w:cs="Arial"/>
          <w:b/>
          <w:bCs/>
          <w:lang w:val="en-US" w:eastAsia="zh-CN"/>
        </w:rPr>
        <w:t>Proposal 1: The following indications should be introduced to support the coexistence of intra-SN and inter-SN subsequent CPAC:</w:t>
      </w:r>
    </w:p>
    <w:p>
      <w:pPr>
        <w:numPr>
          <w:ilvl w:val="0"/>
          <w:numId w:val="5"/>
        </w:numPr>
        <w:ind w:leftChars="100"/>
        <w:jc w:val="both"/>
        <w:rPr>
          <w:rFonts w:hint="eastAsia" w:ascii="Arial" w:hAnsi="Arial" w:cs="Arial"/>
          <w:b/>
          <w:bCs/>
          <w:lang w:val="en-US" w:eastAsia="zh-CN"/>
        </w:rPr>
      </w:pPr>
      <w:r>
        <w:rPr>
          <w:rFonts w:hint="eastAsia" w:ascii="Arial" w:hAnsi="Arial" w:cs="Arial"/>
          <w:b/>
          <w:bCs/>
          <w:lang w:val="en-US" w:eastAsia="zh-CN"/>
        </w:rPr>
        <w:t>A new indication to indicate that SN triggers intra-SN subsequent CPAC procedure to MN.</w:t>
      </w:r>
    </w:p>
    <w:p>
      <w:pPr>
        <w:ind w:leftChars="100"/>
        <w:jc w:val="both"/>
        <w:rPr>
          <w:rFonts w:hint="eastAsia" w:ascii="Arial" w:hAnsi="Arial" w:cs="Arial"/>
          <w:b/>
          <w:bCs/>
          <w:lang w:val="en-US" w:eastAsia="zh-CN"/>
        </w:rPr>
      </w:pPr>
      <w:r>
        <w:rPr>
          <w:rFonts w:hint="eastAsia" w:ascii="Arial" w:hAnsi="Arial" w:cs="Arial"/>
          <w:b/>
          <w:bCs/>
          <w:lang w:val="en-US" w:eastAsia="zh-CN"/>
        </w:rPr>
        <w:t>b) A new indication to indicate that MN triggers inter-SN subsequent CPAC procedure to SN.</w:t>
      </w:r>
    </w:p>
    <w:p>
      <w:pPr>
        <w:jc w:val="both"/>
        <w:rPr>
          <w:rFonts w:hint="default" w:ascii="Arial" w:hAnsi="Arial" w:cs="Arial"/>
          <w:b/>
          <w:bCs/>
          <w:lang w:val="en-US" w:eastAsia="zh-CN"/>
        </w:rPr>
      </w:pPr>
    </w:p>
    <w:p>
      <w:pPr>
        <w:pStyle w:val="3"/>
        <w:rPr>
          <w:rFonts w:cs="Arial"/>
          <w:sz w:val="28"/>
          <w:szCs w:val="18"/>
          <w:lang w:eastAsia="zh-CN"/>
        </w:rPr>
      </w:pPr>
      <w:r>
        <w:rPr>
          <w:rFonts w:hint="eastAsia" w:cs="Arial"/>
          <w:sz w:val="28"/>
          <w:szCs w:val="18"/>
          <w:lang w:eastAsia="zh-CN"/>
        </w:rPr>
        <w:t>2</w:t>
      </w:r>
      <w:r>
        <w:rPr>
          <w:rFonts w:cs="Arial"/>
          <w:sz w:val="28"/>
          <w:szCs w:val="18"/>
          <w:lang w:eastAsia="zh-CN"/>
        </w:rPr>
        <w:t>.</w:t>
      </w:r>
      <w:r>
        <w:rPr>
          <w:rFonts w:hint="eastAsia" w:cs="Arial"/>
          <w:sz w:val="28"/>
          <w:szCs w:val="18"/>
          <w:lang w:val="en-US" w:eastAsia="zh-CN"/>
        </w:rPr>
        <w:t>2</w:t>
      </w:r>
      <w:r>
        <w:rPr>
          <w:rFonts w:cs="Arial"/>
          <w:sz w:val="28"/>
          <w:szCs w:val="18"/>
          <w:lang w:eastAsia="zh-CN"/>
        </w:rPr>
        <w:t xml:space="preserve"> </w:t>
      </w:r>
      <w:r>
        <w:rPr>
          <w:rFonts w:hint="eastAsia" w:cs="Arial"/>
          <w:sz w:val="28"/>
          <w:szCs w:val="18"/>
          <w:lang w:val="en-US" w:eastAsia="zh-CN"/>
        </w:rPr>
        <w:t xml:space="preserve">Other issues related to RAN2 LS </w:t>
      </w:r>
      <w:r>
        <w:rPr>
          <w:rFonts w:cs="Arial"/>
          <w:sz w:val="28"/>
          <w:szCs w:val="18"/>
          <w:lang w:eastAsia="zh-CN"/>
        </w:rPr>
        <w:t xml:space="preserve"> </w:t>
      </w:r>
    </w:p>
    <w:p>
      <w:pPr>
        <w:jc w:val="both"/>
        <w:rPr>
          <w:rFonts w:hint="default" w:ascii="Arial" w:hAnsi="Arial" w:cs="Arial"/>
          <w:b w:val="0"/>
          <w:bCs w:val="0"/>
          <w:lang w:val="en-US" w:eastAsia="zh-CN"/>
        </w:rPr>
      </w:pPr>
      <w:r>
        <w:rPr>
          <w:rFonts w:hint="eastAsia" w:ascii="Arial" w:hAnsi="Arial" w:cs="Arial"/>
          <w:b w:val="0"/>
          <w:bCs w:val="0"/>
          <w:lang w:val="en-US" w:eastAsia="zh-CN"/>
        </w:rPr>
        <w:t xml:space="preserve">In LS [1], RAN2 wants to check the following agreement with RAN3. </w:t>
      </w:r>
    </w:p>
    <w:p>
      <w:pPr>
        <w:pStyle w:val="73"/>
        <w:tabs>
          <w:tab w:val="left" w:pos="1494"/>
          <w:tab w:val="clear" w:pos="1619"/>
        </w:tabs>
        <w:rPr>
          <w:rFonts w:cs="Arial"/>
          <w:sz w:val="20"/>
          <w:szCs w:val="20"/>
          <w:lang w:val="en-US" w:eastAsia="zh-CN"/>
        </w:rPr>
      </w:pPr>
      <w:r>
        <w:rPr>
          <w:rFonts w:cs="Arial"/>
          <w:sz w:val="20"/>
          <w:szCs w:val="20"/>
          <w:lang w:val="en-US" w:eastAsia="zh-CN"/>
        </w:rPr>
        <w:t xml:space="preserve">Proposal 17: [9/11] RAN2 assumes that the coexistence of subsequent CPAC and legacy CPAC is supported. </w:t>
      </w:r>
      <w:r>
        <w:rPr>
          <w:rFonts w:cs="Arial"/>
          <w:sz w:val="20"/>
          <w:szCs w:val="20"/>
          <w:highlight w:val="yellow"/>
          <w:lang w:val="en-US" w:eastAsia="zh-CN"/>
        </w:rPr>
        <w:t>[Check with RAN3]</w:t>
      </w:r>
    </w:p>
    <w:p>
      <w:pPr>
        <w:pStyle w:val="73"/>
        <w:keepNext w:val="0"/>
        <w:keepLines w:val="0"/>
        <w:pageBreakBefore w:val="0"/>
        <w:widowControl/>
        <w:tabs>
          <w:tab w:val="left" w:pos="1494"/>
          <w:tab w:val="clear" w:pos="1619"/>
        </w:tabs>
        <w:kinsoku/>
        <w:wordWrap/>
        <w:overflowPunct/>
        <w:topLinePunct w:val="0"/>
        <w:autoSpaceDE/>
        <w:autoSpaceDN/>
        <w:bidi w:val="0"/>
        <w:adjustRightInd/>
        <w:snapToGrid/>
        <w:spacing w:after="180"/>
        <w:ind w:left="1621" w:hanging="363"/>
        <w:textAlignment w:val="auto"/>
        <w:rPr>
          <w:rFonts w:cs="Arial"/>
          <w:sz w:val="20"/>
          <w:szCs w:val="20"/>
          <w:lang w:val="en-US" w:eastAsia="zh-CN"/>
        </w:rPr>
      </w:pPr>
      <w:r>
        <w:rPr>
          <w:rFonts w:cs="Arial"/>
          <w:sz w:val="20"/>
          <w:szCs w:val="20"/>
          <w:lang w:val="en-US" w:eastAsia="zh-CN"/>
        </w:rPr>
        <w:t xml:space="preserve">Proposal 18: [10/11] RAN2 assumes that the existing signalling flow charts and procedural texts for Rel-17 CPA/CPC procedures can be reused for subsequent CPAC procedure with some modifications. </w:t>
      </w:r>
      <w:r>
        <w:rPr>
          <w:rFonts w:cs="Arial"/>
          <w:sz w:val="20"/>
          <w:szCs w:val="20"/>
          <w:highlight w:val="yellow"/>
          <w:lang w:val="en-US" w:eastAsia="zh-CN"/>
        </w:rPr>
        <w:t>[Check with RAN3]</w:t>
      </w:r>
    </w:p>
    <w:p>
      <w:pPr>
        <w:numPr>
          <w:ilvl w:val="0"/>
          <w:numId w:val="6"/>
        </w:numPr>
        <w:ind w:left="420" w:leftChars="0" w:hanging="420" w:firstLineChars="0"/>
        <w:jc w:val="both"/>
        <w:rPr>
          <w:rFonts w:hint="eastAsia" w:ascii="Arial" w:hAnsi="Arial" w:cs="Arial"/>
          <w:b w:val="0"/>
          <w:bCs w:val="0"/>
          <w:lang w:val="en-US" w:eastAsia="zh-CN"/>
        </w:rPr>
      </w:pPr>
      <w:r>
        <w:rPr>
          <w:rFonts w:hint="eastAsia" w:ascii="Arial" w:hAnsi="Arial" w:cs="Arial"/>
          <w:b w:val="0"/>
          <w:bCs w:val="0"/>
          <w:lang w:val="en-US" w:eastAsia="zh-CN"/>
        </w:rPr>
        <w:t>Coexistence of S-CPAC and legacy CPAC</w:t>
      </w:r>
    </w:p>
    <w:p>
      <w:pPr>
        <w:jc w:val="both"/>
        <w:rPr>
          <w:rFonts w:hint="eastAsia" w:ascii="Arial" w:hAnsi="Arial" w:cs="Arial"/>
          <w:b w:val="0"/>
          <w:bCs w:val="0"/>
          <w:lang w:val="en-US" w:eastAsia="zh-CN"/>
        </w:rPr>
      </w:pPr>
      <w:r>
        <w:rPr>
          <w:rFonts w:hint="eastAsia" w:ascii="Arial" w:hAnsi="Arial" w:cs="Arial"/>
          <w:b w:val="0"/>
          <w:bCs w:val="0"/>
          <w:lang w:val="en-US" w:eastAsia="zh-CN"/>
        </w:rPr>
        <w:t xml:space="preserve">RAN2 assumes that the coexistence of subsequent CPAC and legacy CPAC is supported, since the subsequent CPAC configuration is provided in new IE </w:t>
      </w:r>
      <w:r>
        <w:rPr>
          <w:rFonts w:hint="eastAsia" w:ascii="Arial" w:hAnsi="Arial" w:cs="Arial"/>
          <w:b w:val="0"/>
          <w:bCs w:val="0"/>
          <w:i/>
          <w:iCs/>
          <w:lang w:val="en-US" w:eastAsia="zh-CN"/>
        </w:rPr>
        <w:t>subsequentCondReconfig-r18</w:t>
      </w:r>
      <w:r>
        <w:rPr>
          <w:rFonts w:hint="eastAsia" w:ascii="Arial" w:hAnsi="Arial" w:cs="Arial"/>
          <w:b w:val="0"/>
          <w:bCs w:val="0"/>
          <w:lang w:val="en-US" w:eastAsia="zh-CN"/>
        </w:rPr>
        <w:t xml:space="preserve"> which is differentiated from the IE used for legacy CPAC within </w:t>
      </w:r>
      <w:r>
        <w:rPr>
          <w:rFonts w:hint="eastAsia" w:ascii="Arial" w:hAnsi="Arial" w:cs="Arial"/>
          <w:b w:val="0"/>
          <w:bCs w:val="0"/>
          <w:i/>
          <w:iCs/>
          <w:lang w:val="en-US" w:eastAsia="zh-CN"/>
        </w:rPr>
        <w:t>ConditionalReconfiguration</w:t>
      </w:r>
      <w:r>
        <w:rPr>
          <w:rFonts w:hint="eastAsia" w:ascii="Arial" w:hAnsi="Arial" w:cs="Arial"/>
          <w:b w:val="0"/>
          <w:bCs w:val="0"/>
          <w:lang w:val="en-US" w:eastAsia="zh-CN"/>
        </w:rPr>
        <w:t xml:space="preserve"> IE based on running CR [3]. Therefore, the NW can provide some candidates with the </w:t>
      </w:r>
      <w:r>
        <w:rPr>
          <w:rFonts w:hint="eastAsia" w:ascii="Arial" w:hAnsi="Arial" w:cs="Arial"/>
          <w:b w:val="0"/>
          <w:bCs w:val="0"/>
          <w:i/>
          <w:iCs/>
          <w:lang w:val="en-US" w:eastAsia="zh-CN"/>
        </w:rPr>
        <w:t>subsequentCondReconfig-r18</w:t>
      </w:r>
      <w:r>
        <w:rPr>
          <w:rFonts w:hint="eastAsia" w:ascii="Arial" w:hAnsi="Arial" w:cs="Arial"/>
          <w:b w:val="0"/>
          <w:bCs w:val="0"/>
          <w:lang w:val="en-US" w:eastAsia="zh-CN"/>
        </w:rPr>
        <w:t xml:space="preserve"> IE but others without the </w:t>
      </w:r>
      <w:r>
        <w:rPr>
          <w:rFonts w:hint="eastAsia" w:ascii="Arial" w:hAnsi="Arial" w:cs="Arial"/>
          <w:b w:val="0"/>
          <w:bCs w:val="0"/>
          <w:i/>
          <w:iCs/>
          <w:lang w:val="en-US" w:eastAsia="zh-CN"/>
        </w:rPr>
        <w:t>subsequentCondReconfig-r18</w:t>
      </w:r>
      <w:r>
        <w:rPr>
          <w:rFonts w:hint="eastAsia" w:ascii="Arial" w:hAnsi="Arial" w:cs="Arial"/>
          <w:b w:val="0"/>
          <w:bCs w:val="0"/>
          <w:lang w:val="en-US" w:eastAsia="zh-CN"/>
        </w:rPr>
        <w:t xml:space="preserve"> IE simultaneously. </w:t>
      </w:r>
    </w:p>
    <w:p>
      <w:pPr>
        <w:jc w:val="both"/>
        <w:rPr>
          <w:rFonts w:hint="default" w:ascii="Arial" w:hAnsi="Arial" w:cs="Arial"/>
          <w:b w:val="0"/>
          <w:bCs w:val="0"/>
          <w:lang w:val="en-US" w:eastAsia="zh-CN"/>
        </w:rPr>
      </w:pPr>
      <w:r>
        <w:rPr>
          <w:rFonts w:hint="default" w:ascii="Arial" w:hAnsi="Arial" w:cs="Arial"/>
          <w:b w:val="0"/>
          <w:bCs w:val="0"/>
          <w:lang w:val="en-US" w:eastAsia="zh-CN"/>
        </w:rPr>
        <w:t>Even though we understand it’s supported by the running CR, the motivation for NW to trigger both at the same time</w:t>
      </w:r>
      <w:r>
        <w:rPr>
          <w:rFonts w:hint="eastAsia" w:ascii="Arial" w:hAnsi="Arial" w:cs="Arial"/>
          <w:b w:val="0"/>
          <w:bCs w:val="0"/>
          <w:lang w:val="en-US" w:eastAsia="zh-CN"/>
        </w:rPr>
        <w:t xml:space="preserve"> is unclear. In addition, more inter-node coordinations and UE behaviours should be specified in this case, such as which candidate cell should be selected if the execution conditions for candidate cell of legacy CPAC and S-CPAC are satisfied at the same time. Considering this meeting is the last one for R18, we prefer not to support the coexistence of subsequent CPAC and legacy CPAC, to avoid introducing additional impacts on UE and network.</w:t>
      </w:r>
    </w:p>
    <w:p>
      <w:pPr>
        <w:jc w:val="both"/>
        <w:rPr>
          <w:rFonts w:hint="default" w:ascii="Arial" w:hAnsi="Arial" w:cs="Arial"/>
          <w:b/>
          <w:bCs/>
          <w:lang w:val="en-US" w:eastAsia="zh-CN"/>
        </w:rPr>
      </w:pPr>
      <w:r>
        <w:rPr>
          <w:rFonts w:hint="eastAsia" w:ascii="Arial" w:hAnsi="Arial" w:cs="Arial"/>
          <w:b/>
          <w:bCs/>
          <w:lang w:val="en-US" w:eastAsia="zh-CN"/>
        </w:rPr>
        <w:t>Proposal 2: RAN3 confirms that the coexistence of subsequent CPAC and legacy CPAC is not supported in R18.</w:t>
      </w:r>
    </w:p>
    <w:p>
      <w:pPr>
        <w:jc w:val="both"/>
        <w:rPr>
          <w:rFonts w:hint="default" w:ascii="Arial" w:hAnsi="Arial" w:cs="Arial"/>
          <w:b w:val="0"/>
          <w:bCs w:val="0"/>
          <w:lang w:val="en-US" w:eastAsia="zh-CN"/>
        </w:rPr>
      </w:pPr>
    </w:p>
    <w:p>
      <w:pPr>
        <w:numPr>
          <w:ilvl w:val="0"/>
          <w:numId w:val="6"/>
        </w:numPr>
        <w:ind w:left="420" w:leftChars="0" w:hanging="420" w:firstLineChars="0"/>
        <w:jc w:val="both"/>
        <w:rPr>
          <w:rFonts w:hint="default" w:ascii="Arial" w:hAnsi="Arial" w:cs="Arial"/>
          <w:b w:val="0"/>
          <w:bCs w:val="0"/>
          <w:lang w:val="en-US" w:eastAsia="zh-CN"/>
        </w:rPr>
      </w:pPr>
      <w:r>
        <w:rPr>
          <w:rFonts w:hint="eastAsia" w:ascii="Arial" w:hAnsi="Arial" w:cs="Arial"/>
          <w:b w:val="0"/>
          <w:bCs w:val="0"/>
          <w:lang w:val="en-US" w:eastAsia="zh-CN"/>
        </w:rPr>
        <w:t>Signaling flow chart for S-CPAC</w:t>
      </w:r>
    </w:p>
    <w:p>
      <w:pPr>
        <w:jc w:val="both"/>
        <w:rPr>
          <w:rFonts w:hint="eastAsia" w:ascii="Arial" w:hAnsi="Arial" w:cs="Arial"/>
          <w:b w:val="0"/>
          <w:bCs w:val="0"/>
          <w:lang w:val="en-US" w:eastAsia="zh-CN"/>
        </w:rPr>
      </w:pPr>
      <w:r>
        <w:rPr>
          <w:rFonts w:hint="eastAsia" w:ascii="Arial" w:hAnsi="Arial" w:cs="Arial"/>
          <w:b w:val="0"/>
          <w:bCs w:val="0"/>
          <w:lang w:eastAsia="zh-CN"/>
        </w:rPr>
        <w:t>RAN2 assumes that the existing signaling flow charts and procedural texts for Rel-17 CPA/CPC procedures can be reused for subsequent CPAC procedure with some modifications</w:t>
      </w:r>
      <w:r>
        <w:rPr>
          <w:rFonts w:hint="eastAsia" w:ascii="Arial" w:hAnsi="Arial" w:cs="Arial"/>
          <w:b w:val="0"/>
          <w:bCs w:val="0"/>
          <w:lang w:val="en-US" w:eastAsia="zh-CN"/>
        </w:rPr>
        <w:t xml:space="preserve">. Based on the current progress, we think the signaling flow charts for subsequent CPAC procedure is similar to which used for legacy CPAC procedure, so there is no need to introduce separate signaling flow chart </w:t>
      </w:r>
      <w:bookmarkStart w:id="0" w:name="_GoBack"/>
      <w:bookmarkEnd w:id="0"/>
      <w:r>
        <w:rPr>
          <w:rFonts w:hint="eastAsia" w:ascii="Arial" w:hAnsi="Arial" w:cs="Arial"/>
          <w:b w:val="0"/>
          <w:bCs w:val="0"/>
          <w:lang w:val="en-US" w:eastAsia="zh-CN"/>
        </w:rPr>
        <w:t>which will increase the workload. From RAN3 point of view, we also think R17 CPAC procedure can be reused with some enhancements.</w:t>
      </w:r>
    </w:p>
    <w:p>
      <w:pPr>
        <w:jc w:val="both"/>
        <w:rPr>
          <w:rFonts w:hint="default" w:ascii="Arial" w:hAnsi="Arial" w:cs="Arial"/>
          <w:b/>
          <w:bCs/>
          <w:lang w:val="en-US" w:eastAsia="zh-CN"/>
        </w:rPr>
      </w:pPr>
      <w:r>
        <w:rPr>
          <w:rFonts w:hint="eastAsia" w:ascii="Arial" w:hAnsi="Arial" w:cs="Arial"/>
          <w:b/>
          <w:bCs/>
          <w:lang w:val="en-US" w:eastAsia="zh-CN"/>
        </w:rPr>
        <w:t>Proposal 3: RAN3 confirm that the existing signaling flow charts and procedural texts for Rel-17 CPA/CPC procedures can be reused for subsequent CPAC procedure with some modifications.</w:t>
      </w:r>
    </w:p>
    <w:p>
      <w:pPr>
        <w:jc w:val="both"/>
        <w:rPr>
          <w:rFonts w:hint="default" w:ascii="Arial" w:hAnsi="Arial" w:cs="Arial"/>
          <w:b w:val="0"/>
          <w:bCs w:val="0"/>
          <w:lang w:val="en-US" w:eastAsia="zh-CN"/>
        </w:rPr>
      </w:pPr>
    </w:p>
    <w:p>
      <w:pPr>
        <w:pStyle w:val="2"/>
        <w:rPr>
          <w:rFonts w:cs="Arial"/>
        </w:rPr>
      </w:pPr>
      <w:r>
        <w:rPr>
          <w:rFonts w:cs="Arial"/>
          <w:lang w:eastAsia="zh-CN"/>
        </w:rPr>
        <w:t>3</w:t>
      </w:r>
      <w:r>
        <w:rPr>
          <w:rFonts w:cs="Arial"/>
        </w:rPr>
        <w:tab/>
      </w:r>
      <w:r>
        <w:rPr>
          <w:rFonts w:cs="Arial"/>
        </w:rPr>
        <w:t>Conclusion</w:t>
      </w:r>
    </w:p>
    <w:p>
      <w:pPr>
        <w:jc w:val="both"/>
        <w:rPr>
          <w:rFonts w:ascii="Arial" w:hAnsi="Arial" w:cs="Arial"/>
          <w:lang w:eastAsia="zh-CN"/>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US" w:eastAsia="zh-CN"/>
        </w:rPr>
        <w:t>subsequent CPAC</w:t>
      </w:r>
      <w:r>
        <w:rPr>
          <w:rFonts w:ascii="Arial" w:hAnsi="Arial" w:cs="Arial"/>
          <w:lang w:eastAsia="zh-CN"/>
        </w:rPr>
        <w:t>:</w:t>
      </w:r>
    </w:p>
    <w:p>
      <w:pPr>
        <w:jc w:val="both"/>
        <w:rPr>
          <w:rFonts w:hint="default" w:ascii="Arial" w:hAnsi="Arial" w:cs="Arial"/>
          <w:b/>
          <w:bCs/>
          <w:lang w:val="en-US" w:eastAsia="zh-CN"/>
        </w:rPr>
      </w:pPr>
      <w:r>
        <w:rPr>
          <w:rFonts w:hint="eastAsia" w:ascii="Arial" w:hAnsi="Arial" w:cs="Arial"/>
          <w:b/>
          <w:bCs/>
          <w:lang w:val="en-US" w:eastAsia="zh-CN"/>
        </w:rPr>
        <w:t>Proposal 1: The following indications should be introduced to support the coexistence of intra-SN and inter-SN subsequent CPAC:</w:t>
      </w:r>
    </w:p>
    <w:p>
      <w:pPr>
        <w:numPr>
          <w:ilvl w:val="0"/>
          <w:numId w:val="5"/>
        </w:numPr>
        <w:ind w:leftChars="100"/>
        <w:jc w:val="both"/>
        <w:rPr>
          <w:rFonts w:hint="eastAsia" w:ascii="Arial" w:hAnsi="Arial" w:cs="Arial"/>
          <w:b/>
          <w:bCs/>
          <w:lang w:val="en-US" w:eastAsia="zh-CN"/>
        </w:rPr>
      </w:pPr>
      <w:r>
        <w:rPr>
          <w:rFonts w:hint="eastAsia" w:ascii="Arial" w:hAnsi="Arial" w:cs="Arial"/>
          <w:b/>
          <w:bCs/>
          <w:lang w:val="en-US" w:eastAsia="zh-CN"/>
        </w:rPr>
        <w:t>A new indication to indicate that SN triggers intra-SN subsequent CPAC procedure to MN.</w:t>
      </w:r>
    </w:p>
    <w:p>
      <w:pPr>
        <w:ind w:leftChars="100"/>
        <w:jc w:val="both"/>
        <w:rPr>
          <w:rFonts w:hint="eastAsia" w:ascii="Arial" w:hAnsi="Arial" w:cs="Arial"/>
          <w:b/>
          <w:bCs/>
          <w:lang w:val="en-US" w:eastAsia="zh-CN"/>
        </w:rPr>
      </w:pPr>
      <w:r>
        <w:rPr>
          <w:rFonts w:hint="eastAsia" w:ascii="Arial" w:hAnsi="Arial" w:cs="Arial"/>
          <w:b/>
          <w:bCs/>
          <w:lang w:val="en-US" w:eastAsia="zh-CN"/>
        </w:rPr>
        <w:t>b) A new indication to indicate that MN triggers inter-SN subsequent CPAC procedure to SN.</w:t>
      </w:r>
    </w:p>
    <w:p>
      <w:pPr>
        <w:jc w:val="both"/>
        <w:rPr>
          <w:rFonts w:ascii="Arial" w:hAnsi="Arial" w:cs="Arial"/>
          <w:b/>
          <w:bCs/>
          <w:lang w:eastAsia="zh-CN"/>
        </w:rPr>
      </w:pPr>
      <w:r>
        <w:rPr>
          <w:rFonts w:hint="eastAsia" w:ascii="Arial" w:hAnsi="Arial" w:cs="Arial"/>
          <w:b/>
          <w:bCs/>
          <w:lang w:val="en-US" w:eastAsia="zh-CN"/>
        </w:rPr>
        <w:t>Proposal 2: RAN3 confirms that the coexistence of subsequent CPAC and legacy CPAC is not supported in R18</w:t>
      </w:r>
      <w:r>
        <w:rPr>
          <w:rFonts w:ascii="Arial" w:hAnsi="Arial" w:cs="Arial"/>
          <w:b/>
          <w:bCs/>
          <w:lang w:eastAsia="zh-CN"/>
        </w:rPr>
        <w:t>.</w:t>
      </w:r>
    </w:p>
    <w:p>
      <w:pPr>
        <w:rPr>
          <w:rFonts w:hint="eastAsia" w:ascii="Arial" w:hAnsi="Arial" w:cs="Arial"/>
          <w:b/>
          <w:bCs/>
          <w:lang w:val="en-US" w:eastAsia="zh-CN"/>
        </w:rPr>
      </w:pPr>
      <w:r>
        <w:rPr>
          <w:rFonts w:hint="eastAsia" w:ascii="Arial" w:hAnsi="Arial" w:cs="Arial"/>
          <w:b/>
          <w:bCs/>
          <w:lang w:val="en-US" w:eastAsia="zh-CN"/>
        </w:rPr>
        <w:t>Proposal 3: RAN3 confirm that the existing signaling flow charts and procedural texts for Rel-17 CPA/CPC procedures can be reused for subsequent CPAC procedure with some modifications.</w:t>
      </w:r>
    </w:p>
    <w:p>
      <w:pPr>
        <w:rPr>
          <w:rFonts w:hint="default" w:ascii="Arial" w:hAnsi="Arial" w:cs="Arial"/>
          <w:b/>
          <w:bCs/>
          <w:lang w:val="en-US" w:eastAsia="zh-CN"/>
        </w:rPr>
      </w:pPr>
    </w:p>
    <w:p>
      <w:pPr>
        <w:pStyle w:val="2"/>
        <w:rPr>
          <w:rFonts w:cs="Arial"/>
        </w:rPr>
      </w:pPr>
      <w:r>
        <w:rPr>
          <w:rFonts w:cs="Arial"/>
        </w:rPr>
        <w:t>4 References</w:t>
      </w:r>
    </w:p>
    <w:p>
      <w:pPr>
        <w:pStyle w:val="69"/>
        <w:numPr>
          <w:ilvl w:val="0"/>
          <w:numId w:val="7"/>
        </w:numPr>
        <w:spacing w:line="360" w:lineRule="auto"/>
        <w:jc w:val="both"/>
        <w:rPr>
          <w:rFonts w:ascii="Arial" w:hAnsi="Arial" w:cs="Arial"/>
          <w:lang w:eastAsia="zh-CN"/>
        </w:rPr>
      </w:pPr>
      <w:r>
        <w:rPr>
          <w:rFonts w:ascii="Arial" w:hAnsi="Arial" w:cs="Arial"/>
          <w:lang w:eastAsia="zh-CN"/>
        </w:rPr>
        <w:t>R</w:t>
      </w:r>
      <w:r>
        <w:rPr>
          <w:rFonts w:hint="eastAsia" w:ascii="Arial" w:hAnsi="Arial" w:cs="Arial"/>
          <w:lang w:val="en-US" w:eastAsia="zh-CN"/>
        </w:rPr>
        <w:t>3</w:t>
      </w:r>
      <w:r>
        <w:rPr>
          <w:rFonts w:ascii="Arial" w:hAnsi="Arial" w:cs="Arial"/>
          <w:lang w:eastAsia="zh-CN"/>
        </w:rPr>
        <w:t>-2</w:t>
      </w:r>
      <w:r>
        <w:rPr>
          <w:rFonts w:hint="eastAsia" w:ascii="Arial" w:hAnsi="Arial" w:cs="Arial"/>
          <w:lang w:val="en-US" w:eastAsia="zh-CN"/>
        </w:rPr>
        <w:t>37139(R2-2311331)</w:t>
      </w:r>
      <w:r>
        <w:rPr>
          <w:rFonts w:ascii="Arial" w:hAnsi="Arial" w:cs="Arial"/>
          <w:lang w:eastAsia="zh-CN"/>
        </w:rPr>
        <w:t xml:space="preserve"> </w:t>
      </w:r>
      <w:r>
        <w:rPr>
          <w:rFonts w:hint="eastAsia" w:ascii="Arial" w:hAnsi="Arial" w:cs="Arial"/>
          <w:lang w:eastAsia="zh-CN"/>
        </w:rPr>
        <w:t>LS on RAN2 progress on subsequent CPAC</w:t>
      </w:r>
    </w:p>
    <w:p>
      <w:pPr>
        <w:pStyle w:val="69"/>
        <w:numPr>
          <w:ilvl w:val="0"/>
          <w:numId w:val="7"/>
        </w:numPr>
        <w:spacing w:line="360" w:lineRule="auto"/>
        <w:jc w:val="both"/>
        <w:rPr>
          <w:rFonts w:hint="eastAsia" w:ascii="Arial" w:hAnsi="Arial" w:cs="Arial"/>
          <w:lang w:val="en-US" w:eastAsia="zh-CN"/>
        </w:rPr>
      </w:pPr>
      <w:r>
        <w:rPr>
          <w:rFonts w:hint="eastAsia" w:ascii="Arial" w:hAnsi="Arial" w:cs="Arial"/>
          <w:lang w:val="en-US" w:eastAsia="zh-CN"/>
        </w:rPr>
        <w:t>TS 37.340 Evolved Universal Terrestrial Radio Access (E-UTRA) and NR; Multi-connectivity; Stage 2</w:t>
      </w:r>
    </w:p>
    <w:p>
      <w:pPr>
        <w:pStyle w:val="69"/>
        <w:numPr>
          <w:ilvl w:val="0"/>
          <w:numId w:val="7"/>
        </w:numPr>
        <w:spacing w:line="360" w:lineRule="auto"/>
        <w:jc w:val="both"/>
        <w:rPr>
          <w:rFonts w:hint="eastAsia" w:ascii="Arial" w:hAnsi="Arial" w:cs="Arial"/>
          <w:lang w:val="en-US" w:eastAsia="zh-CN"/>
        </w:rPr>
      </w:pPr>
      <w:r>
        <w:rPr>
          <w:rFonts w:hint="eastAsia" w:ascii="Arial" w:hAnsi="Arial" w:cs="Arial"/>
          <w:lang w:val="en-US" w:eastAsia="zh-CN"/>
        </w:rPr>
        <w:t>R2-2309336   RRC running CR for subsequent CPAC in NR-DC  OPPO</w:t>
      </w:r>
    </w:p>
    <w:p>
      <w:pPr>
        <w:overflowPunct w:val="0"/>
        <w:autoSpaceDE w:val="0"/>
        <w:autoSpaceDN w:val="0"/>
        <w:adjustRightInd w:val="0"/>
        <w:textAlignment w:val="baseline"/>
        <w:rPr>
          <w:rFonts w:ascii="Arial" w:hAnsi="Arial" w:cs="Arial"/>
          <w:lang w:eastAsia="zh-CN"/>
        </w:rPr>
      </w:pPr>
    </w:p>
    <w:p>
      <w:pPr>
        <w:overflowPunct w:val="0"/>
        <w:autoSpaceDE w:val="0"/>
        <w:autoSpaceDN w:val="0"/>
        <w:adjustRightInd w:val="0"/>
        <w:textAlignment w:val="baseline"/>
        <w:rPr>
          <w:rFonts w:ascii="Arial" w:hAnsi="Arial" w:cs="Arial"/>
          <w:lang w:eastAsia="zh-CN"/>
        </w:rPr>
      </w:pPr>
    </w:p>
    <w:p>
      <w:pPr>
        <w:overflowPunct w:val="0"/>
        <w:autoSpaceDE w:val="0"/>
        <w:autoSpaceDN w:val="0"/>
        <w:adjustRightInd w:val="0"/>
        <w:textAlignment w:val="baseline"/>
        <w:rPr>
          <w:rFonts w:ascii="Arial" w:hAnsi="Arial" w:cs="Arial"/>
          <w:lang w:eastAsia="zh-CN"/>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3625F"/>
    <w:multiLevelType w:val="singleLevel"/>
    <w:tmpl w:val="FB33625F"/>
    <w:lvl w:ilvl="0" w:tentative="0">
      <w:start w:val="1"/>
      <w:numFmt w:val="lowerLetter"/>
      <w:suff w:val="space"/>
      <w:lvlText w:val="%1)"/>
      <w:lvlJc w:val="left"/>
    </w:lvl>
  </w:abstractNum>
  <w:abstractNum w:abstractNumId="1">
    <w:nsid w:val="1DDC438F"/>
    <w:multiLevelType w:val="multilevel"/>
    <w:tmpl w:val="1DDC438F"/>
    <w:lvl w:ilvl="0" w:tentative="0">
      <w:start w:val="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32E94ED8"/>
    <w:multiLevelType w:val="multilevel"/>
    <w:tmpl w:val="32E94E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A313DE"/>
    <w:multiLevelType w:val="singleLevel"/>
    <w:tmpl w:val="33A313DE"/>
    <w:lvl w:ilvl="0" w:tentative="0">
      <w:start w:val="1"/>
      <w:numFmt w:val="bullet"/>
      <w:lvlText w:val=""/>
      <w:lvlJc w:val="left"/>
      <w:pPr>
        <w:ind w:left="420" w:hanging="420"/>
      </w:pPr>
      <w:rPr>
        <w:rFonts w:hint="default" w:ascii="Wingdings" w:hAnsi="Wingdings"/>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BDF65F6"/>
    <w:multiLevelType w:val="multilevel"/>
    <w:tmpl w:val="4BDF65F6"/>
    <w:lvl w:ilvl="0" w:tentative="0">
      <w:start w:val="1"/>
      <w:numFmt w:val="decimal"/>
      <w:pStyle w:val="8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18A"/>
    <w:rsid w:val="00004EFC"/>
    <w:rsid w:val="00012852"/>
    <w:rsid w:val="00016A33"/>
    <w:rsid w:val="0002117F"/>
    <w:rsid w:val="0002136B"/>
    <w:rsid w:val="000217A8"/>
    <w:rsid w:val="00023CBE"/>
    <w:rsid w:val="00024CE3"/>
    <w:rsid w:val="00026E4C"/>
    <w:rsid w:val="000302C1"/>
    <w:rsid w:val="00033397"/>
    <w:rsid w:val="00035677"/>
    <w:rsid w:val="00036181"/>
    <w:rsid w:val="000365C3"/>
    <w:rsid w:val="00040095"/>
    <w:rsid w:val="00051BE1"/>
    <w:rsid w:val="0005661C"/>
    <w:rsid w:val="00056689"/>
    <w:rsid w:val="00060587"/>
    <w:rsid w:val="0006135D"/>
    <w:rsid w:val="00067499"/>
    <w:rsid w:val="00077C88"/>
    <w:rsid w:val="00080512"/>
    <w:rsid w:val="0008088B"/>
    <w:rsid w:val="0008221A"/>
    <w:rsid w:val="0008250C"/>
    <w:rsid w:val="000828F7"/>
    <w:rsid w:val="0008306F"/>
    <w:rsid w:val="00090468"/>
    <w:rsid w:val="00093977"/>
    <w:rsid w:val="00093C96"/>
    <w:rsid w:val="00096258"/>
    <w:rsid w:val="000A3A3B"/>
    <w:rsid w:val="000A6F38"/>
    <w:rsid w:val="000B007C"/>
    <w:rsid w:val="000B18D8"/>
    <w:rsid w:val="000B4D19"/>
    <w:rsid w:val="000B5055"/>
    <w:rsid w:val="000B5C2A"/>
    <w:rsid w:val="000B666B"/>
    <w:rsid w:val="000B7BCF"/>
    <w:rsid w:val="000C1886"/>
    <w:rsid w:val="000C522B"/>
    <w:rsid w:val="000C540B"/>
    <w:rsid w:val="000C57AE"/>
    <w:rsid w:val="000C71DB"/>
    <w:rsid w:val="000D58AB"/>
    <w:rsid w:val="000E120B"/>
    <w:rsid w:val="000E38BF"/>
    <w:rsid w:val="000F076C"/>
    <w:rsid w:val="000F163A"/>
    <w:rsid w:val="0010124F"/>
    <w:rsid w:val="00102DAD"/>
    <w:rsid w:val="00106D0E"/>
    <w:rsid w:val="0011426C"/>
    <w:rsid w:val="00117160"/>
    <w:rsid w:val="00120844"/>
    <w:rsid w:val="001241A8"/>
    <w:rsid w:val="00131468"/>
    <w:rsid w:val="00133ADE"/>
    <w:rsid w:val="00143D95"/>
    <w:rsid w:val="001446C8"/>
    <w:rsid w:val="00145075"/>
    <w:rsid w:val="001539E0"/>
    <w:rsid w:val="001568A4"/>
    <w:rsid w:val="00160995"/>
    <w:rsid w:val="00160AF6"/>
    <w:rsid w:val="001618F5"/>
    <w:rsid w:val="001619CF"/>
    <w:rsid w:val="001726DF"/>
    <w:rsid w:val="0017375D"/>
    <w:rsid w:val="001741A0"/>
    <w:rsid w:val="00174FB8"/>
    <w:rsid w:val="001761B8"/>
    <w:rsid w:val="00180643"/>
    <w:rsid w:val="001833C6"/>
    <w:rsid w:val="001849B0"/>
    <w:rsid w:val="00185F5E"/>
    <w:rsid w:val="00194CD0"/>
    <w:rsid w:val="0019555A"/>
    <w:rsid w:val="001A3BAC"/>
    <w:rsid w:val="001A6D8E"/>
    <w:rsid w:val="001B49C9"/>
    <w:rsid w:val="001B5876"/>
    <w:rsid w:val="001B6E40"/>
    <w:rsid w:val="001C25AE"/>
    <w:rsid w:val="001C28B2"/>
    <w:rsid w:val="001C5BA1"/>
    <w:rsid w:val="001C5BD2"/>
    <w:rsid w:val="001C5DA4"/>
    <w:rsid w:val="001D1328"/>
    <w:rsid w:val="001D3C37"/>
    <w:rsid w:val="001D4FB0"/>
    <w:rsid w:val="001D53DE"/>
    <w:rsid w:val="001E284D"/>
    <w:rsid w:val="001E761D"/>
    <w:rsid w:val="001F168B"/>
    <w:rsid w:val="001F554A"/>
    <w:rsid w:val="001F5C44"/>
    <w:rsid w:val="001F7831"/>
    <w:rsid w:val="00200F92"/>
    <w:rsid w:val="0020111A"/>
    <w:rsid w:val="002029A9"/>
    <w:rsid w:val="00203950"/>
    <w:rsid w:val="00204045"/>
    <w:rsid w:val="00204569"/>
    <w:rsid w:val="00205F2C"/>
    <w:rsid w:val="00211A7D"/>
    <w:rsid w:val="0021371C"/>
    <w:rsid w:val="00214FD7"/>
    <w:rsid w:val="00215C7D"/>
    <w:rsid w:val="00216FA7"/>
    <w:rsid w:val="0021726A"/>
    <w:rsid w:val="0022045C"/>
    <w:rsid w:val="00223E25"/>
    <w:rsid w:val="00224664"/>
    <w:rsid w:val="0022606D"/>
    <w:rsid w:val="00237485"/>
    <w:rsid w:val="00241931"/>
    <w:rsid w:val="00243FB2"/>
    <w:rsid w:val="00244B3D"/>
    <w:rsid w:val="00244F46"/>
    <w:rsid w:val="00251F10"/>
    <w:rsid w:val="00254F7C"/>
    <w:rsid w:val="00262014"/>
    <w:rsid w:val="00262113"/>
    <w:rsid w:val="0026430E"/>
    <w:rsid w:val="0026448F"/>
    <w:rsid w:val="002738AA"/>
    <w:rsid w:val="002747EC"/>
    <w:rsid w:val="00274B00"/>
    <w:rsid w:val="00276809"/>
    <w:rsid w:val="002855BF"/>
    <w:rsid w:val="00286A34"/>
    <w:rsid w:val="00294E4C"/>
    <w:rsid w:val="00295E64"/>
    <w:rsid w:val="00296B72"/>
    <w:rsid w:val="002974BB"/>
    <w:rsid w:val="002A6A4B"/>
    <w:rsid w:val="002A7C31"/>
    <w:rsid w:val="002B020A"/>
    <w:rsid w:val="002C197A"/>
    <w:rsid w:val="002C4A76"/>
    <w:rsid w:val="002D02B0"/>
    <w:rsid w:val="002E1D57"/>
    <w:rsid w:val="002E3CCA"/>
    <w:rsid w:val="002E61FD"/>
    <w:rsid w:val="002F0D22"/>
    <w:rsid w:val="002F2613"/>
    <w:rsid w:val="003041E6"/>
    <w:rsid w:val="00306708"/>
    <w:rsid w:val="00306C4B"/>
    <w:rsid w:val="00306E1E"/>
    <w:rsid w:val="00313562"/>
    <w:rsid w:val="00314092"/>
    <w:rsid w:val="0031467C"/>
    <w:rsid w:val="003172DC"/>
    <w:rsid w:val="00317630"/>
    <w:rsid w:val="00320E41"/>
    <w:rsid w:val="00324A66"/>
    <w:rsid w:val="00324C92"/>
    <w:rsid w:val="00324F2A"/>
    <w:rsid w:val="00325DCC"/>
    <w:rsid w:val="00326069"/>
    <w:rsid w:val="00333728"/>
    <w:rsid w:val="003338C3"/>
    <w:rsid w:val="003366F8"/>
    <w:rsid w:val="00340293"/>
    <w:rsid w:val="003417CA"/>
    <w:rsid w:val="00342123"/>
    <w:rsid w:val="0035462D"/>
    <w:rsid w:val="003577E7"/>
    <w:rsid w:val="003718CE"/>
    <w:rsid w:val="00374A38"/>
    <w:rsid w:val="00377107"/>
    <w:rsid w:val="0038079F"/>
    <w:rsid w:val="00380A4A"/>
    <w:rsid w:val="00381C5E"/>
    <w:rsid w:val="00382AC9"/>
    <w:rsid w:val="003841CA"/>
    <w:rsid w:val="003860EA"/>
    <w:rsid w:val="00393D82"/>
    <w:rsid w:val="003954C6"/>
    <w:rsid w:val="003A415E"/>
    <w:rsid w:val="003A6810"/>
    <w:rsid w:val="003B1299"/>
    <w:rsid w:val="003B40AD"/>
    <w:rsid w:val="003C4E37"/>
    <w:rsid w:val="003C54A5"/>
    <w:rsid w:val="003D5D01"/>
    <w:rsid w:val="003D7042"/>
    <w:rsid w:val="003E16BE"/>
    <w:rsid w:val="003E175E"/>
    <w:rsid w:val="003E1A81"/>
    <w:rsid w:val="003E1F2D"/>
    <w:rsid w:val="003E2112"/>
    <w:rsid w:val="003E4A6A"/>
    <w:rsid w:val="003E543D"/>
    <w:rsid w:val="003E683C"/>
    <w:rsid w:val="003F037E"/>
    <w:rsid w:val="003F32DC"/>
    <w:rsid w:val="003F38D7"/>
    <w:rsid w:val="003F436D"/>
    <w:rsid w:val="00401855"/>
    <w:rsid w:val="004032C7"/>
    <w:rsid w:val="00405800"/>
    <w:rsid w:val="00411778"/>
    <w:rsid w:val="00412662"/>
    <w:rsid w:val="00416811"/>
    <w:rsid w:val="004174BD"/>
    <w:rsid w:val="00422BD8"/>
    <w:rsid w:val="0042401B"/>
    <w:rsid w:val="00435054"/>
    <w:rsid w:val="004374F4"/>
    <w:rsid w:val="00443D53"/>
    <w:rsid w:val="00443F09"/>
    <w:rsid w:val="004510D3"/>
    <w:rsid w:val="00456600"/>
    <w:rsid w:val="00457D00"/>
    <w:rsid w:val="00460045"/>
    <w:rsid w:val="004623B6"/>
    <w:rsid w:val="004632AE"/>
    <w:rsid w:val="00465D71"/>
    <w:rsid w:val="004660A0"/>
    <w:rsid w:val="00466637"/>
    <w:rsid w:val="00477455"/>
    <w:rsid w:val="004805A1"/>
    <w:rsid w:val="004807E3"/>
    <w:rsid w:val="0048130D"/>
    <w:rsid w:val="0048599A"/>
    <w:rsid w:val="00490D68"/>
    <w:rsid w:val="004A0319"/>
    <w:rsid w:val="004A1085"/>
    <w:rsid w:val="004A4F14"/>
    <w:rsid w:val="004B2CFC"/>
    <w:rsid w:val="004B3084"/>
    <w:rsid w:val="004B37FD"/>
    <w:rsid w:val="004C4DEF"/>
    <w:rsid w:val="004C6069"/>
    <w:rsid w:val="004D3578"/>
    <w:rsid w:val="004D380D"/>
    <w:rsid w:val="004E213A"/>
    <w:rsid w:val="004E40AC"/>
    <w:rsid w:val="004E4740"/>
    <w:rsid w:val="004F36E0"/>
    <w:rsid w:val="004F4107"/>
    <w:rsid w:val="00500130"/>
    <w:rsid w:val="00501A43"/>
    <w:rsid w:val="00503171"/>
    <w:rsid w:val="00504C8E"/>
    <w:rsid w:val="00506C28"/>
    <w:rsid w:val="005111A4"/>
    <w:rsid w:val="00514BFE"/>
    <w:rsid w:val="0051770A"/>
    <w:rsid w:val="00517B9E"/>
    <w:rsid w:val="0052140C"/>
    <w:rsid w:val="00523546"/>
    <w:rsid w:val="00523FDC"/>
    <w:rsid w:val="0052455D"/>
    <w:rsid w:val="00534DA0"/>
    <w:rsid w:val="00535E48"/>
    <w:rsid w:val="00543E6C"/>
    <w:rsid w:val="0054441B"/>
    <w:rsid w:val="005470B8"/>
    <w:rsid w:val="00550ACC"/>
    <w:rsid w:val="00551ED6"/>
    <w:rsid w:val="00555124"/>
    <w:rsid w:val="00560477"/>
    <w:rsid w:val="00563A43"/>
    <w:rsid w:val="0056469D"/>
    <w:rsid w:val="0056480F"/>
    <w:rsid w:val="00565087"/>
    <w:rsid w:val="0056573F"/>
    <w:rsid w:val="005672B8"/>
    <w:rsid w:val="0057085C"/>
    <w:rsid w:val="00570D28"/>
    <w:rsid w:val="005710A1"/>
    <w:rsid w:val="00572E7F"/>
    <w:rsid w:val="00573B7D"/>
    <w:rsid w:val="00575B0C"/>
    <w:rsid w:val="0057656C"/>
    <w:rsid w:val="00580A44"/>
    <w:rsid w:val="00584C97"/>
    <w:rsid w:val="0058728E"/>
    <w:rsid w:val="005900CE"/>
    <w:rsid w:val="005920E6"/>
    <w:rsid w:val="00593B6E"/>
    <w:rsid w:val="00594252"/>
    <w:rsid w:val="005A3C46"/>
    <w:rsid w:val="005A7B3A"/>
    <w:rsid w:val="005B013F"/>
    <w:rsid w:val="005B48FB"/>
    <w:rsid w:val="005C528A"/>
    <w:rsid w:val="005C57D6"/>
    <w:rsid w:val="005D27B0"/>
    <w:rsid w:val="005D4E0C"/>
    <w:rsid w:val="005D5447"/>
    <w:rsid w:val="005D6EB8"/>
    <w:rsid w:val="005E1A07"/>
    <w:rsid w:val="005E7DE7"/>
    <w:rsid w:val="005F2EDF"/>
    <w:rsid w:val="006009EE"/>
    <w:rsid w:val="00600AA3"/>
    <w:rsid w:val="006016A4"/>
    <w:rsid w:val="00602641"/>
    <w:rsid w:val="00603000"/>
    <w:rsid w:val="00606318"/>
    <w:rsid w:val="00611386"/>
    <w:rsid w:val="00611566"/>
    <w:rsid w:val="00614F76"/>
    <w:rsid w:val="00623BB1"/>
    <w:rsid w:val="00626B25"/>
    <w:rsid w:val="00635591"/>
    <w:rsid w:val="0063639C"/>
    <w:rsid w:val="0064411C"/>
    <w:rsid w:val="00646D99"/>
    <w:rsid w:val="00647B34"/>
    <w:rsid w:val="00650084"/>
    <w:rsid w:val="0065488A"/>
    <w:rsid w:val="00656910"/>
    <w:rsid w:val="0066178D"/>
    <w:rsid w:val="00666483"/>
    <w:rsid w:val="00667A87"/>
    <w:rsid w:val="0067066E"/>
    <w:rsid w:val="00671516"/>
    <w:rsid w:val="0068064C"/>
    <w:rsid w:val="00680C10"/>
    <w:rsid w:val="006842DA"/>
    <w:rsid w:val="006856CF"/>
    <w:rsid w:val="0068584A"/>
    <w:rsid w:val="00685931"/>
    <w:rsid w:val="006A107E"/>
    <w:rsid w:val="006A5BF8"/>
    <w:rsid w:val="006A6D5A"/>
    <w:rsid w:val="006B2E42"/>
    <w:rsid w:val="006B4CDD"/>
    <w:rsid w:val="006C2F51"/>
    <w:rsid w:val="006C66D8"/>
    <w:rsid w:val="006D1E24"/>
    <w:rsid w:val="006D383A"/>
    <w:rsid w:val="006E08C3"/>
    <w:rsid w:val="006E1417"/>
    <w:rsid w:val="006E14E2"/>
    <w:rsid w:val="006E6C9F"/>
    <w:rsid w:val="006E79E4"/>
    <w:rsid w:val="006F6A2C"/>
    <w:rsid w:val="00701593"/>
    <w:rsid w:val="00710201"/>
    <w:rsid w:val="00717A1C"/>
    <w:rsid w:val="00722476"/>
    <w:rsid w:val="00724902"/>
    <w:rsid w:val="007304C1"/>
    <w:rsid w:val="00731031"/>
    <w:rsid w:val="0073124B"/>
    <w:rsid w:val="00734A5B"/>
    <w:rsid w:val="00735E81"/>
    <w:rsid w:val="00744E76"/>
    <w:rsid w:val="007460EF"/>
    <w:rsid w:val="00757D40"/>
    <w:rsid w:val="00760402"/>
    <w:rsid w:val="00774474"/>
    <w:rsid w:val="0077797C"/>
    <w:rsid w:val="00781F0F"/>
    <w:rsid w:val="007846F6"/>
    <w:rsid w:val="00785A33"/>
    <w:rsid w:val="0078727C"/>
    <w:rsid w:val="0079049D"/>
    <w:rsid w:val="00791608"/>
    <w:rsid w:val="00792DBB"/>
    <w:rsid w:val="0079761C"/>
    <w:rsid w:val="007A2193"/>
    <w:rsid w:val="007A4F56"/>
    <w:rsid w:val="007A618B"/>
    <w:rsid w:val="007A72E5"/>
    <w:rsid w:val="007B18D8"/>
    <w:rsid w:val="007B31CC"/>
    <w:rsid w:val="007B3472"/>
    <w:rsid w:val="007B7D44"/>
    <w:rsid w:val="007C095F"/>
    <w:rsid w:val="007C0F89"/>
    <w:rsid w:val="007C2EF5"/>
    <w:rsid w:val="007D4776"/>
    <w:rsid w:val="007E0C2B"/>
    <w:rsid w:val="007F0E9E"/>
    <w:rsid w:val="007F1EE8"/>
    <w:rsid w:val="007F3526"/>
    <w:rsid w:val="008028A4"/>
    <w:rsid w:val="00804DF6"/>
    <w:rsid w:val="0081202B"/>
    <w:rsid w:val="00812B0C"/>
    <w:rsid w:val="00813245"/>
    <w:rsid w:val="00820D1C"/>
    <w:rsid w:val="008265B1"/>
    <w:rsid w:val="00826778"/>
    <w:rsid w:val="00827627"/>
    <w:rsid w:val="00831459"/>
    <w:rsid w:val="00831976"/>
    <w:rsid w:val="00836752"/>
    <w:rsid w:val="00837DCD"/>
    <w:rsid w:val="008404C2"/>
    <w:rsid w:val="00842994"/>
    <w:rsid w:val="00846641"/>
    <w:rsid w:val="00846A94"/>
    <w:rsid w:val="00856397"/>
    <w:rsid w:val="008709FB"/>
    <w:rsid w:val="00870C69"/>
    <w:rsid w:val="008768CA"/>
    <w:rsid w:val="00877EF9"/>
    <w:rsid w:val="00880559"/>
    <w:rsid w:val="008864F0"/>
    <w:rsid w:val="008970EF"/>
    <w:rsid w:val="008A203C"/>
    <w:rsid w:val="008A27C4"/>
    <w:rsid w:val="008A2D12"/>
    <w:rsid w:val="008A2F00"/>
    <w:rsid w:val="008B3793"/>
    <w:rsid w:val="008B5306"/>
    <w:rsid w:val="008B5DB0"/>
    <w:rsid w:val="008C0863"/>
    <w:rsid w:val="008C0865"/>
    <w:rsid w:val="008C0B8D"/>
    <w:rsid w:val="008C260D"/>
    <w:rsid w:val="008C35C7"/>
    <w:rsid w:val="008C42B8"/>
    <w:rsid w:val="008D276D"/>
    <w:rsid w:val="008D2E27"/>
    <w:rsid w:val="008D3D8B"/>
    <w:rsid w:val="008D59EB"/>
    <w:rsid w:val="008D6E4B"/>
    <w:rsid w:val="008E3E5F"/>
    <w:rsid w:val="008E54D8"/>
    <w:rsid w:val="008E6C38"/>
    <w:rsid w:val="008F6C6B"/>
    <w:rsid w:val="0090187C"/>
    <w:rsid w:val="0090271F"/>
    <w:rsid w:val="00902DB9"/>
    <w:rsid w:val="0090360A"/>
    <w:rsid w:val="0090466A"/>
    <w:rsid w:val="00911DAE"/>
    <w:rsid w:val="009215C5"/>
    <w:rsid w:val="00921D99"/>
    <w:rsid w:val="0093012E"/>
    <w:rsid w:val="00933D70"/>
    <w:rsid w:val="00936071"/>
    <w:rsid w:val="00940212"/>
    <w:rsid w:val="00942E6A"/>
    <w:rsid w:val="00942EC2"/>
    <w:rsid w:val="00945DFD"/>
    <w:rsid w:val="0094651D"/>
    <w:rsid w:val="0094798C"/>
    <w:rsid w:val="0095040E"/>
    <w:rsid w:val="00950F78"/>
    <w:rsid w:val="0095382B"/>
    <w:rsid w:val="00955470"/>
    <w:rsid w:val="00956B2E"/>
    <w:rsid w:val="009607E3"/>
    <w:rsid w:val="00961B32"/>
    <w:rsid w:val="009628E1"/>
    <w:rsid w:val="00963641"/>
    <w:rsid w:val="0096381C"/>
    <w:rsid w:val="009656AD"/>
    <w:rsid w:val="00965923"/>
    <w:rsid w:val="00970DB3"/>
    <w:rsid w:val="00971157"/>
    <w:rsid w:val="009726B9"/>
    <w:rsid w:val="00974BB0"/>
    <w:rsid w:val="009816A3"/>
    <w:rsid w:val="00984778"/>
    <w:rsid w:val="00984929"/>
    <w:rsid w:val="009871BA"/>
    <w:rsid w:val="009900D5"/>
    <w:rsid w:val="009907C6"/>
    <w:rsid w:val="00995433"/>
    <w:rsid w:val="009A0AF3"/>
    <w:rsid w:val="009A1E31"/>
    <w:rsid w:val="009A1E95"/>
    <w:rsid w:val="009B028B"/>
    <w:rsid w:val="009B05FC"/>
    <w:rsid w:val="009B0730"/>
    <w:rsid w:val="009B07CD"/>
    <w:rsid w:val="009B146D"/>
    <w:rsid w:val="009B16DE"/>
    <w:rsid w:val="009C05D7"/>
    <w:rsid w:val="009C19E9"/>
    <w:rsid w:val="009C21AE"/>
    <w:rsid w:val="009C3192"/>
    <w:rsid w:val="009C4EA2"/>
    <w:rsid w:val="009D1421"/>
    <w:rsid w:val="009D2DA6"/>
    <w:rsid w:val="009D326E"/>
    <w:rsid w:val="009D61C3"/>
    <w:rsid w:val="009D6A9B"/>
    <w:rsid w:val="009E286B"/>
    <w:rsid w:val="009F2A89"/>
    <w:rsid w:val="009F3B87"/>
    <w:rsid w:val="009F64A5"/>
    <w:rsid w:val="00A10F02"/>
    <w:rsid w:val="00A11F7E"/>
    <w:rsid w:val="00A13034"/>
    <w:rsid w:val="00A15E20"/>
    <w:rsid w:val="00A17E25"/>
    <w:rsid w:val="00A204CA"/>
    <w:rsid w:val="00A2301C"/>
    <w:rsid w:val="00A242F5"/>
    <w:rsid w:val="00A267BE"/>
    <w:rsid w:val="00A31E4F"/>
    <w:rsid w:val="00A320BF"/>
    <w:rsid w:val="00A34D7C"/>
    <w:rsid w:val="00A41387"/>
    <w:rsid w:val="00A444B5"/>
    <w:rsid w:val="00A445DE"/>
    <w:rsid w:val="00A44AA1"/>
    <w:rsid w:val="00A44AB0"/>
    <w:rsid w:val="00A4522B"/>
    <w:rsid w:val="00A4626E"/>
    <w:rsid w:val="00A47A6C"/>
    <w:rsid w:val="00A5156A"/>
    <w:rsid w:val="00A53724"/>
    <w:rsid w:val="00A61098"/>
    <w:rsid w:val="00A64B4B"/>
    <w:rsid w:val="00A770E0"/>
    <w:rsid w:val="00A77A51"/>
    <w:rsid w:val="00A82346"/>
    <w:rsid w:val="00A82B40"/>
    <w:rsid w:val="00A9172F"/>
    <w:rsid w:val="00A9588E"/>
    <w:rsid w:val="00A95C09"/>
    <w:rsid w:val="00A9671C"/>
    <w:rsid w:val="00AA1553"/>
    <w:rsid w:val="00AA294D"/>
    <w:rsid w:val="00AA3480"/>
    <w:rsid w:val="00AB00AC"/>
    <w:rsid w:val="00AB1408"/>
    <w:rsid w:val="00AB2802"/>
    <w:rsid w:val="00AB43D5"/>
    <w:rsid w:val="00AB49B2"/>
    <w:rsid w:val="00AB504B"/>
    <w:rsid w:val="00AB556A"/>
    <w:rsid w:val="00AC695C"/>
    <w:rsid w:val="00AD0C08"/>
    <w:rsid w:val="00AD0F1D"/>
    <w:rsid w:val="00AD2619"/>
    <w:rsid w:val="00AD4C0B"/>
    <w:rsid w:val="00AD7EB7"/>
    <w:rsid w:val="00AE06A4"/>
    <w:rsid w:val="00AE5998"/>
    <w:rsid w:val="00AE6215"/>
    <w:rsid w:val="00AE71BB"/>
    <w:rsid w:val="00AF2B39"/>
    <w:rsid w:val="00B03536"/>
    <w:rsid w:val="00B0648D"/>
    <w:rsid w:val="00B06B21"/>
    <w:rsid w:val="00B11743"/>
    <w:rsid w:val="00B13A18"/>
    <w:rsid w:val="00B15449"/>
    <w:rsid w:val="00B231E6"/>
    <w:rsid w:val="00B2375D"/>
    <w:rsid w:val="00B2397F"/>
    <w:rsid w:val="00B24043"/>
    <w:rsid w:val="00B3325E"/>
    <w:rsid w:val="00B33AF3"/>
    <w:rsid w:val="00B36BDD"/>
    <w:rsid w:val="00B47FD1"/>
    <w:rsid w:val="00B5060B"/>
    <w:rsid w:val="00B516BB"/>
    <w:rsid w:val="00B5236C"/>
    <w:rsid w:val="00B630F6"/>
    <w:rsid w:val="00B70817"/>
    <w:rsid w:val="00B74842"/>
    <w:rsid w:val="00B775F9"/>
    <w:rsid w:val="00B80B74"/>
    <w:rsid w:val="00B9060C"/>
    <w:rsid w:val="00BA2976"/>
    <w:rsid w:val="00BA591D"/>
    <w:rsid w:val="00BA6D6A"/>
    <w:rsid w:val="00BA6ED8"/>
    <w:rsid w:val="00BA7FDD"/>
    <w:rsid w:val="00BB049A"/>
    <w:rsid w:val="00BB1816"/>
    <w:rsid w:val="00BB1E30"/>
    <w:rsid w:val="00BB5BF1"/>
    <w:rsid w:val="00BC0827"/>
    <w:rsid w:val="00BC3D24"/>
    <w:rsid w:val="00BC4736"/>
    <w:rsid w:val="00BD5535"/>
    <w:rsid w:val="00BD593C"/>
    <w:rsid w:val="00BD67B1"/>
    <w:rsid w:val="00BE1CA4"/>
    <w:rsid w:val="00BE4578"/>
    <w:rsid w:val="00BE4AD3"/>
    <w:rsid w:val="00BE6C3B"/>
    <w:rsid w:val="00BF6D9D"/>
    <w:rsid w:val="00C07B22"/>
    <w:rsid w:val="00C12B51"/>
    <w:rsid w:val="00C207EC"/>
    <w:rsid w:val="00C20ED6"/>
    <w:rsid w:val="00C2230C"/>
    <w:rsid w:val="00C23D4E"/>
    <w:rsid w:val="00C24650"/>
    <w:rsid w:val="00C25AAF"/>
    <w:rsid w:val="00C25F81"/>
    <w:rsid w:val="00C26BB5"/>
    <w:rsid w:val="00C276B9"/>
    <w:rsid w:val="00C27B36"/>
    <w:rsid w:val="00C303C1"/>
    <w:rsid w:val="00C33079"/>
    <w:rsid w:val="00C330DF"/>
    <w:rsid w:val="00C3558C"/>
    <w:rsid w:val="00C37B7E"/>
    <w:rsid w:val="00C47304"/>
    <w:rsid w:val="00C47461"/>
    <w:rsid w:val="00C4769E"/>
    <w:rsid w:val="00C47D2D"/>
    <w:rsid w:val="00C50A9A"/>
    <w:rsid w:val="00C52F30"/>
    <w:rsid w:val="00C556FB"/>
    <w:rsid w:val="00C55DE9"/>
    <w:rsid w:val="00C57569"/>
    <w:rsid w:val="00C62547"/>
    <w:rsid w:val="00C626AF"/>
    <w:rsid w:val="00C6360C"/>
    <w:rsid w:val="00C6448B"/>
    <w:rsid w:val="00C64FA3"/>
    <w:rsid w:val="00C716A3"/>
    <w:rsid w:val="00C746FD"/>
    <w:rsid w:val="00C768BB"/>
    <w:rsid w:val="00C827BB"/>
    <w:rsid w:val="00C83A13"/>
    <w:rsid w:val="00C842F3"/>
    <w:rsid w:val="00C86833"/>
    <w:rsid w:val="00C9068C"/>
    <w:rsid w:val="00C92967"/>
    <w:rsid w:val="00C93673"/>
    <w:rsid w:val="00C93D0E"/>
    <w:rsid w:val="00C94CF7"/>
    <w:rsid w:val="00C94D0B"/>
    <w:rsid w:val="00C97DD9"/>
    <w:rsid w:val="00C97F93"/>
    <w:rsid w:val="00CA0C6F"/>
    <w:rsid w:val="00CA3D0C"/>
    <w:rsid w:val="00CA654B"/>
    <w:rsid w:val="00CB406F"/>
    <w:rsid w:val="00CB474B"/>
    <w:rsid w:val="00CB4B54"/>
    <w:rsid w:val="00CB76C7"/>
    <w:rsid w:val="00CC24E3"/>
    <w:rsid w:val="00CD0243"/>
    <w:rsid w:val="00CD0A86"/>
    <w:rsid w:val="00CD3111"/>
    <w:rsid w:val="00CD3D99"/>
    <w:rsid w:val="00CD4C7B"/>
    <w:rsid w:val="00CD4E8D"/>
    <w:rsid w:val="00CD6435"/>
    <w:rsid w:val="00CD68E4"/>
    <w:rsid w:val="00CE1251"/>
    <w:rsid w:val="00CE3213"/>
    <w:rsid w:val="00CE56D2"/>
    <w:rsid w:val="00CF31AD"/>
    <w:rsid w:val="00CF35AA"/>
    <w:rsid w:val="00D00EB3"/>
    <w:rsid w:val="00D061E4"/>
    <w:rsid w:val="00D07B3C"/>
    <w:rsid w:val="00D07DFB"/>
    <w:rsid w:val="00D11A22"/>
    <w:rsid w:val="00D14841"/>
    <w:rsid w:val="00D14CB8"/>
    <w:rsid w:val="00D1586F"/>
    <w:rsid w:val="00D1608C"/>
    <w:rsid w:val="00D22044"/>
    <w:rsid w:val="00D26380"/>
    <w:rsid w:val="00D30B99"/>
    <w:rsid w:val="00D3258F"/>
    <w:rsid w:val="00D34B1E"/>
    <w:rsid w:val="00D3654D"/>
    <w:rsid w:val="00D36762"/>
    <w:rsid w:val="00D37578"/>
    <w:rsid w:val="00D402F5"/>
    <w:rsid w:val="00D43109"/>
    <w:rsid w:val="00D52F31"/>
    <w:rsid w:val="00D54730"/>
    <w:rsid w:val="00D60FF7"/>
    <w:rsid w:val="00D61B77"/>
    <w:rsid w:val="00D627B9"/>
    <w:rsid w:val="00D64016"/>
    <w:rsid w:val="00D679C7"/>
    <w:rsid w:val="00D738D6"/>
    <w:rsid w:val="00D80795"/>
    <w:rsid w:val="00D80C75"/>
    <w:rsid w:val="00D80FF6"/>
    <w:rsid w:val="00D816C2"/>
    <w:rsid w:val="00D83281"/>
    <w:rsid w:val="00D84D2A"/>
    <w:rsid w:val="00D8542C"/>
    <w:rsid w:val="00D85FEB"/>
    <w:rsid w:val="00D86039"/>
    <w:rsid w:val="00D87E00"/>
    <w:rsid w:val="00D9134D"/>
    <w:rsid w:val="00D95AF8"/>
    <w:rsid w:val="00D96D11"/>
    <w:rsid w:val="00DA5616"/>
    <w:rsid w:val="00DA5A34"/>
    <w:rsid w:val="00DA5BF2"/>
    <w:rsid w:val="00DA7A03"/>
    <w:rsid w:val="00DB1818"/>
    <w:rsid w:val="00DB182D"/>
    <w:rsid w:val="00DB7DFB"/>
    <w:rsid w:val="00DC1A04"/>
    <w:rsid w:val="00DC309B"/>
    <w:rsid w:val="00DC4DA2"/>
    <w:rsid w:val="00DC5F65"/>
    <w:rsid w:val="00DD4910"/>
    <w:rsid w:val="00DD7BCD"/>
    <w:rsid w:val="00DE0D91"/>
    <w:rsid w:val="00DE17D1"/>
    <w:rsid w:val="00DE2F61"/>
    <w:rsid w:val="00DE3621"/>
    <w:rsid w:val="00DE6881"/>
    <w:rsid w:val="00E01311"/>
    <w:rsid w:val="00E04037"/>
    <w:rsid w:val="00E062E3"/>
    <w:rsid w:val="00E10FED"/>
    <w:rsid w:val="00E17629"/>
    <w:rsid w:val="00E20AC1"/>
    <w:rsid w:val="00E22368"/>
    <w:rsid w:val="00E25A3B"/>
    <w:rsid w:val="00E25CB8"/>
    <w:rsid w:val="00E272E2"/>
    <w:rsid w:val="00E3394D"/>
    <w:rsid w:val="00E36407"/>
    <w:rsid w:val="00E40DBD"/>
    <w:rsid w:val="00E56479"/>
    <w:rsid w:val="00E602B1"/>
    <w:rsid w:val="00E607E0"/>
    <w:rsid w:val="00E6130E"/>
    <w:rsid w:val="00E61B39"/>
    <w:rsid w:val="00E62835"/>
    <w:rsid w:val="00E6390C"/>
    <w:rsid w:val="00E64523"/>
    <w:rsid w:val="00E7356F"/>
    <w:rsid w:val="00E745D4"/>
    <w:rsid w:val="00E74D13"/>
    <w:rsid w:val="00E77645"/>
    <w:rsid w:val="00E80DA0"/>
    <w:rsid w:val="00E83697"/>
    <w:rsid w:val="00E83B14"/>
    <w:rsid w:val="00E849A0"/>
    <w:rsid w:val="00E870D7"/>
    <w:rsid w:val="00E91E7B"/>
    <w:rsid w:val="00E946B6"/>
    <w:rsid w:val="00EA11B4"/>
    <w:rsid w:val="00EB6138"/>
    <w:rsid w:val="00EB6AB0"/>
    <w:rsid w:val="00EC198A"/>
    <w:rsid w:val="00EC4A25"/>
    <w:rsid w:val="00ED0144"/>
    <w:rsid w:val="00ED025A"/>
    <w:rsid w:val="00ED645E"/>
    <w:rsid w:val="00ED70DE"/>
    <w:rsid w:val="00ED7BA2"/>
    <w:rsid w:val="00EE053D"/>
    <w:rsid w:val="00EE217F"/>
    <w:rsid w:val="00EE2965"/>
    <w:rsid w:val="00EE44AD"/>
    <w:rsid w:val="00EE55F2"/>
    <w:rsid w:val="00EE5715"/>
    <w:rsid w:val="00EE58CA"/>
    <w:rsid w:val="00EE7964"/>
    <w:rsid w:val="00EF454F"/>
    <w:rsid w:val="00EF72FF"/>
    <w:rsid w:val="00F00D49"/>
    <w:rsid w:val="00F025A2"/>
    <w:rsid w:val="00F05187"/>
    <w:rsid w:val="00F0548C"/>
    <w:rsid w:val="00F06376"/>
    <w:rsid w:val="00F068B5"/>
    <w:rsid w:val="00F07388"/>
    <w:rsid w:val="00F07FD6"/>
    <w:rsid w:val="00F133C4"/>
    <w:rsid w:val="00F1665A"/>
    <w:rsid w:val="00F2026E"/>
    <w:rsid w:val="00F215E2"/>
    <w:rsid w:val="00F21E8D"/>
    <w:rsid w:val="00F2210A"/>
    <w:rsid w:val="00F234CC"/>
    <w:rsid w:val="00F24379"/>
    <w:rsid w:val="00F25BA6"/>
    <w:rsid w:val="00F3031B"/>
    <w:rsid w:val="00F312EB"/>
    <w:rsid w:val="00F345A9"/>
    <w:rsid w:val="00F37743"/>
    <w:rsid w:val="00F44FCE"/>
    <w:rsid w:val="00F4589D"/>
    <w:rsid w:val="00F4667C"/>
    <w:rsid w:val="00F4731F"/>
    <w:rsid w:val="00F5069F"/>
    <w:rsid w:val="00F50F55"/>
    <w:rsid w:val="00F514A4"/>
    <w:rsid w:val="00F5361C"/>
    <w:rsid w:val="00F53AAD"/>
    <w:rsid w:val="00F53B29"/>
    <w:rsid w:val="00F54A3D"/>
    <w:rsid w:val="00F54F7D"/>
    <w:rsid w:val="00F653B8"/>
    <w:rsid w:val="00F71B89"/>
    <w:rsid w:val="00F72333"/>
    <w:rsid w:val="00F7353C"/>
    <w:rsid w:val="00F7430A"/>
    <w:rsid w:val="00F757A9"/>
    <w:rsid w:val="00F75C9C"/>
    <w:rsid w:val="00F76F8F"/>
    <w:rsid w:val="00F80C4B"/>
    <w:rsid w:val="00F8517E"/>
    <w:rsid w:val="00F9440B"/>
    <w:rsid w:val="00FA1266"/>
    <w:rsid w:val="00FA18B6"/>
    <w:rsid w:val="00FA6B38"/>
    <w:rsid w:val="00FB16A0"/>
    <w:rsid w:val="00FB3E24"/>
    <w:rsid w:val="00FB4923"/>
    <w:rsid w:val="00FB7EE6"/>
    <w:rsid w:val="00FC1192"/>
    <w:rsid w:val="00FC65AC"/>
    <w:rsid w:val="00FC6784"/>
    <w:rsid w:val="00FD4D07"/>
    <w:rsid w:val="00FD4EDD"/>
    <w:rsid w:val="00FD555F"/>
    <w:rsid w:val="00FE131B"/>
    <w:rsid w:val="00FE2A45"/>
    <w:rsid w:val="00FE4ED3"/>
    <w:rsid w:val="00FF3121"/>
    <w:rsid w:val="00FF4903"/>
    <w:rsid w:val="01A4527B"/>
    <w:rsid w:val="02543C3D"/>
    <w:rsid w:val="026B1786"/>
    <w:rsid w:val="02D14850"/>
    <w:rsid w:val="040918FC"/>
    <w:rsid w:val="04561188"/>
    <w:rsid w:val="06A2613C"/>
    <w:rsid w:val="08214F6E"/>
    <w:rsid w:val="096618DF"/>
    <w:rsid w:val="0AF46074"/>
    <w:rsid w:val="0CCF0293"/>
    <w:rsid w:val="0F4755E2"/>
    <w:rsid w:val="0F906C15"/>
    <w:rsid w:val="12696DD8"/>
    <w:rsid w:val="135A6265"/>
    <w:rsid w:val="16D95A81"/>
    <w:rsid w:val="18702526"/>
    <w:rsid w:val="1BFE6842"/>
    <w:rsid w:val="1C0E6215"/>
    <w:rsid w:val="1C8A4972"/>
    <w:rsid w:val="1CC97850"/>
    <w:rsid w:val="1E4960C3"/>
    <w:rsid w:val="1E885FC4"/>
    <w:rsid w:val="21355D04"/>
    <w:rsid w:val="21740B68"/>
    <w:rsid w:val="239F2DDE"/>
    <w:rsid w:val="245C1360"/>
    <w:rsid w:val="24B55879"/>
    <w:rsid w:val="251824B5"/>
    <w:rsid w:val="25AF2865"/>
    <w:rsid w:val="26BA306A"/>
    <w:rsid w:val="27B86423"/>
    <w:rsid w:val="28F84507"/>
    <w:rsid w:val="2A1219E9"/>
    <w:rsid w:val="2A465719"/>
    <w:rsid w:val="2B9C3DA9"/>
    <w:rsid w:val="2D3500EA"/>
    <w:rsid w:val="2D611ABC"/>
    <w:rsid w:val="2DD03ADD"/>
    <w:rsid w:val="2E544278"/>
    <w:rsid w:val="2E6D56A0"/>
    <w:rsid w:val="2F01153B"/>
    <w:rsid w:val="2FFA261E"/>
    <w:rsid w:val="3004208B"/>
    <w:rsid w:val="31363C02"/>
    <w:rsid w:val="32E66E63"/>
    <w:rsid w:val="32FA4A60"/>
    <w:rsid w:val="332A6FEA"/>
    <w:rsid w:val="34BB406B"/>
    <w:rsid w:val="36CB79E6"/>
    <w:rsid w:val="3B2835AC"/>
    <w:rsid w:val="3C411B0F"/>
    <w:rsid w:val="3D6F2946"/>
    <w:rsid w:val="3DE57817"/>
    <w:rsid w:val="40550E8E"/>
    <w:rsid w:val="40A624C2"/>
    <w:rsid w:val="4123306B"/>
    <w:rsid w:val="43A800ED"/>
    <w:rsid w:val="43D7798C"/>
    <w:rsid w:val="45BC4DE3"/>
    <w:rsid w:val="479B18AE"/>
    <w:rsid w:val="480B2B88"/>
    <w:rsid w:val="48A80416"/>
    <w:rsid w:val="4F121FA0"/>
    <w:rsid w:val="5163564C"/>
    <w:rsid w:val="52AD4C30"/>
    <w:rsid w:val="52BC0746"/>
    <w:rsid w:val="52DF2414"/>
    <w:rsid w:val="534818AE"/>
    <w:rsid w:val="54E146BC"/>
    <w:rsid w:val="55AB7B26"/>
    <w:rsid w:val="55F42B14"/>
    <w:rsid w:val="56FE7C31"/>
    <w:rsid w:val="57E32517"/>
    <w:rsid w:val="597C465F"/>
    <w:rsid w:val="5AC017DC"/>
    <w:rsid w:val="5DD76E04"/>
    <w:rsid w:val="5E710E75"/>
    <w:rsid w:val="5F9E0F56"/>
    <w:rsid w:val="613A7E00"/>
    <w:rsid w:val="62246792"/>
    <w:rsid w:val="629F558C"/>
    <w:rsid w:val="658853D2"/>
    <w:rsid w:val="66E54F15"/>
    <w:rsid w:val="699B55D4"/>
    <w:rsid w:val="69E77161"/>
    <w:rsid w:val="6C4A6A66"/>
    <w:rsid w:val="6C90182A"/>
    <w:rsid w:val="6EFB4ADB"/>
    <w:rsid w:val="6F711425"/>
    <w:rsid w:val="7006681F"/>
    <w:rsid w:val="70B30FF5"/>
    <w:rsid w:val="70CC7251"/>
    <w:rsid w:val="732E2745"/>
    <w:rsid w:val="73ED4F8A"/>
    <w:rsid w:val="74086A8E"/>
    <w:rsid w:val="741243F2"/>
    <w:rsid w:val="76954F1D"/>
    <w:rsid w:val="770D5E61"/>
    <w:rsid w:val="77B645AD"/>
    <w:rsid w:val="77FE5D03"/>
    <w:rsid w:val="78F264A3"/>
    <w:rsid w:val="79502CBF"/>
    <w:rsid w:val="7A195A4F"/>
    <w:rsid w:val="7A2C351D"/>
    <w:rsid w:val="7B1224E8"/>
    <w:rsid w:val="7DE7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qFormat="1"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1"/>
    <w:semiHidden/>
    <w:unhideWhenUsed/>
    <w:qFormat/>
    <w:uiPriority w:val="0"/>
    <w:rPr>
      <w:rFonts w:ascii="宋体"/>
      <w:sz w:val="18"/>
      <w:szCs w:val="18"/>
    </w:rPr>
  </w:style>
  <w:style w:type="paragraph" w:styleId="20">
    <w:name w:val="Body Text"/>
    <w:basedOn w:val="1"/>
    <w:qFormat/>
    <w:uiPriority w:val="0"/>
    <w:pPr>
      <w:spacing w:after="120"/>
      <w:jc w:val="both"/>
    </w:pPr>
    <w:rPr>
      <w:rFonts w:ascii="Arial" w:hAnsi="Arial"/>
      <w:lang w:eastAsia="zh-CN"/>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0"/>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7"/>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qFormat/>
    <w:uiPriority w:val="0"/>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bCs/>
    </w:rPr>
  </w:style>
  <w:style w:type="character" w:styleId="30">
    <w:name w:val="page number"/>
    <w:basedOn w:val="28"/>
    <w:qFormat/>
    <w:uiPriority w:val="0"/>
  </w:style>
  <w:style w:type="character" w:styleId="31">
    <w:name w:val="Hyperlink"/>
    <w:qFormat/>
    <w:uiPriority w:val="0"/>
    <w:rPr>
      <w:color w:val="0000FF"/>
      <w:u w:val="single"/>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9"/>
    <w:qFormat/>
    <w:uiPriority w:val="0"/>
    <w:pPr>
      <w:keepLines/>
      <w:ind w:left="1135" w:hanging="851"/>
    </w:pPr>
  </w:style>
  <w:style w:type="paragraph" w:customStyle="1" w:styleId="38">
    <w:name w:val="PL"/>
    <w:link w:val="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5"/>
    <w:qFormat/>
    <w:uiPriority w:val="0"/>
    <w:pPr>
      <w:keepNext/>
      <w:keepLines/>
      <w:spacing w:after="0"/>
    </w:pPr>
    <w:rPr>
      <w:rFonts w:ascii="Arial" w:hAnsi="Arial"/>
      <w:sz w:val="18"/>
    </w:rPr>
  </w:style>
  <w:style w:type="paragraph" w:customStyle="1" w:styleId="41">
    <w:name w:val="TAH"/>
    <w:basedOn w:val="42"/>
    <w:link w:val="78"/>
    <w:qFormat/>
    <w:uiPriority w:val="0"/>
    <w:rPr>
      <w:b/>
    </w:rPr>
  </w:style>
  <w:style w:type="paragraph" w:customStyle="1" w:styleId="42">
    <w:name w:val="TAC"/>
    <w:basedOn w:val="40"/>
    <w:link w:val="76"/>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页眉 字符"/>
    <w:link w:val="24"/>
    <w:qFormat/>
    <w:uiPriority w:val="0"/>
    <w:rPr>
      <w:rFonts w:ascii="Arial" w:hAnsi="Arial"/>
      <w:b/>
      <w:sz w:val="18"/>
      <w:lang w:val="en-GB" w:eastAsia="ja-JP" w:bidi="ar-SA"/>
    </w:rPr>
  </w:style>
  <w:style w:type="paragraph" w:customStyle="1" w:styleId="68">
    <w:name w:val="CR Cover Page"/>
    <w:qFormat/>
    <w:uiPriority w:val="0"/>
    <w:pPr>
      <w:spacing w:after="120"/>
    </w:pPr>
    <w:rPr>
      <w:rFonts w:ascii="Arial" w:hAnsi="Arial" w:eastAsia="MS Mincho" w:cs="Times New Roman"/>
      <w:lang w:val="en-GB" w:eastAsia="en-US" w:bidi="ar-SA"/>
    </w:rPr>
  </w:style>
  <w:style w:type="paragraph" w:styleId="69">
    <w:name w:val="List Paragraph"/>
    <w:basedOn w:val="1"/>
    <w:link w:val="80"/>
    <w:qFormat/>
    <w:uiPriority w:val="34"/>
    <w:pPr>
      <w:ind w:left="720"/>
      <w:contextualSpacing/>
    </w:pPr>
  </w:style>
  <w:style w:type="character" w:customStyle="1" w:styleId="70">
    <w:name w:val="批注框文本 字符"/>
    <w:basedOn w:val="28"/>
    <w:link w:val="22"/>
    <w:semiHidden/>
    <w:qFormat/>
    <w:uiPriority w:val="0"/>
    <w:rPr>
      <w:rFonts w:ascii="Segoe UI" w:hAnsi="Segoe UI" w:cs="Segoe UI"/>
      <w:sz w:val="18"/>
      <w:szCs w:val="18"/>
      <w:lang w:eastAsia="en-US"/>
    </w:rPr>
  </w:style>
  <w:style w:type="character" w:customStyle="1" w:styleId="71">
    <w:name w:val="文档结构图 字符"/>
    <w:basedOn w:val="28"/>
    <w:link w:val="19"/>
    <w:semiHidden/>
    <w:qFormat/>
    <w:uiPriority w:val="0"/>
    <w:rPr>
      <w:rFonts w:ascii="宋体"/>
      <w:sz w:val="18"/>
      <w:szCs w:val="18"/>
      <w:lang w:eastAsia="en-US"/>
    </w:rPr>
  </w:style>
  <w:style w:type="character" w:customStyle="1" w:styleId="72">
    <w:name w:val="apple-converted-space"/>
    <w:basedOn w:val="28"/>
    <w:qFormat/>
    <w:uiPriority w:val="0"/>
  </w:style>
  <w:style w:type="paragraph" w:customStyle="1" w:styleId="73">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4">
    <w:name w:val="Revision"/>
    <w:hidden/>
    <w:semiHidden/>
    <w:qFormat/>
    <w:uiPriority w:val="99"/>
    <w:rPr>
      <w:rFonts w:ascii="Times New Roman" w:hAnsi="Times New Roman" w:eastAsia="宋体" w:cs="Times New Roman"/>
      <w:lang w:val="en-GB" w:eastAsia="en-US" w:bidi="ar-SA"/>
    </w:rPr>
  </w:style>
  <w:style w:type="character" w:customStyle="1" w:styleId="75">
    <w:name w:val="TAL Char"/>
    <w:link w:val="40"/>
    <w:qFormat/>
    <w:uiPriority w:val="0"/>
    <w:rPr>
      <w:rFonts w:ascii="Arial" w:hAnsi="Arial"/>
      <w:sz w:val="18"/>
      <w:lang w:eastAsia="en-US"/>
    </w:rPr>
  </w:style>
  <w:style w:type="character" w:customStyle="1" w:styleId="76">
    <w:name w:val="TAC Char"/>
    <w:link w:val="42"/>
    <w:qFormat/>
    <w:uiPriority w:val="0"/>
    <w:rPr>
      <w:rFonts w:ascii="Arial" w:hAnsi="Arial"/>
      <w:sz w:val="18"/>
      <w:lang w:eastAsia="en-US"/>
    </w:rPr>
  </w:style>
  <w:style w:type="character" w:customStyle="1" w:styleId="77">
    <w:name w:val="PL Char"/>
    <w:link w:val="38"/>
    <w:qFormat/>
    <w:uiPriority w:val="0"/>
    <w:rPr>
      <w:rFonts w:ascii="Courier New" w:hAnsi="Courier New"/>
      <w:sz w:val="16"/>
      <w:lang w:eastAsia="en-US"/>
    </w:rPr>
  </w:style>
  <w:style w:type="character" w:customStyle="1" w:styleId="78">
    <w:name w:val="TAH Char"/>
    <w:link w:val="41"/>
    <w:qFormat/>
    <w:uiPriority w:val="0"/>
    <w:rPr>
      <w:rFonts w:ascii="Arial" w:hAnsi="Arial"/>
      <w:b/>
      <w:sz w:val="18"/>
      <w:lang w:eastAsia="en-US"/>
    </w:rPr>
  </w:style>
  <w:style w:type="character" w:customStyle="1" w:styleId="79">
    <w:name w:val="NO Char"/>
    <w:link w:val="37"/>
    <w:qFormat/>
    <w:uiPriority w:val="0"/>
    <w:rPr>
      <w:lang w:eastAsia="en-US"/>
    </w:rPr>
  </w:style>
  <w:style w:type="character" w:customStyle="1" w:styleId="80">
    <w:name w:val="列表段落 字符"/>
    <w:link w:val="69"/>
    <w:qFormat/>
    <w:uiPriority w:val="34"/>
    <w:rPr>
      <w:lang w:eastAsia="en-US"/>
    </w:rPr>
  </w:style>
  <w:style w:type="paragraph" w:customStyle="1" w:styleId="81">
    <w:name w:val="Proposal"/>
    <w:basedOn w:val="1"/>
    <w:link w:val="82"/>
    <w:qFormat/>
    <w:uiPriority w:val="0"/>
    <w:pPr>
      <w:tabs>
        <w:tab w:val="left" w:pos="1560"/>
      </w:tabs>
    </w:pPr>
    <w:rPr>
      <w:rFonts w:eastAsia="Times New Roman"/>
      <w:b/>
    </w:rPr>
  </w:style>
  <w:style w:type="character" w:customStyle="1" w:styleId="82">
    <w:name w:val="Proposal Char"/>
    <w:link w:val="81"/>
    <w:qFormat/>
    <w:uiPriority w:val="0"/>
    <w:rPr>
      <w:rFonts w:eastAsia="Times New Roman"/>
      <w:b/>
      <w:lang w:eastAsia="en-US"/>
    </w:rPr>
  </w:style>
  <w:style w:type="character" w:customStyle="1" w:styleId="83">
    <w:name w:val="15"/>
    <w:qFormat/>
    <w:uiPriority w:val="0"/>
    <w:rPr>
      <w:rFonts w:hint="default" w:ascii="CG Times (WN)" w:hAnsi="CG Times (WN)"/>
      <w:color w:val="0000FF"/>
      <w:u w:val="single"/>
    </w:rPr>
  </w:style>
  <w:style w:type="paragraph" w:customStyle="1" w:styleId="84">
    <w:name w:val="Reference"/>
    <w:basedOn w:val="20"/>
    <w:qFormat/>
    <w:uiPriority w:val="0"/>
    <w:pPr>
      <w:numPr>
        <w:ilvl w:val="0"/>
        <w:numId w:val="2"/>
      </w:numP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datastoreItem>
</file>

<file path=customXml/itemProps2.xml><?xml version="1.0" encoding="utf-8"?>
<ds:datastoreItem xmlns:ds="http://schemas.openxmlformats.org/officeDocument/2006/customXml" ds:itemID="{B8200C5E-686A-498E-A9A0-51DA562118FD}">
  <ds:schemaRefs/>
</ds:datastoreItem>
</file>

<file path=customXml/itemProps3.xml><?xml version="1.0" encoding="utf-8"?>
<ds:datastoreItem xmlns:ds="http://schemas.openxmlformats.org/officeDocument/2006/customXml" ds:itemID="{7235ABDB-B96D-489F-B23B-32C5CFDA4C39}">
  <ds:schemaRefs/>
</ds:datastoreItem>
</file>

<file path=customXml/itemProps4.xml><?xml version="1.0" encoding="utf-8"?>
<ds:datastoreItem xmlns:ds="http://schemas.openxmlformats.org/officeDocument/2006/customXml" ds:itemID="{E7750159-915C-4332-A535-9DAC701A7C02}">
  <ds:schemaRefs/>
</ds:datastoreItem>
</file>

<file path=customXml/itemProps5.xml><?xml version="1.0" encoding="utf-8"?>
<ds:datastoreItem xmlns:ds="http://schemas.openxmlformats.org/officeDocument/2006/customXml" ds:itemID="{E8EDFA05-CD50-438D-A79F-CBCA108C7678}">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7</Pages>
  <Words>2061</Words>
  <Characters>11749</Characters>
  <Lines>97</Lines>
  <Paragraphs>27</Paragraphs>
  <TotalTime>12</TotalTime>
  <ScaleCrop>false</ScaleCrop>
  <LinksUpToDate>false</LinksUpToDate>
  <CharactersWithSpaces>13783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2022-04-24T02:57:00Z</dcterms:created>
  <dc:creator>cmcc</dc:creator>
  <cp:lastModifiedBy>CMCC</cp:lastModifiedBy>
  <dcterms:modified xsi:type="dcterms:W3CDTF">2023-11-03T06:11:24Z</dcterms:modified>
  <dc:subject>&lt;Title 1; Title 2&gt; (Release 13 |12 |11 | 10 | 9 | 8 | 7 | 6 | 5 | 4)</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2052-11.8.2.12085</vt:lpwstr>
  </property>
  <property fmtid="{D5CDD505-2E9C-101B-9397-08002B2CF9AE}" pid="5" name="ICV">
    <vt:lpwstr>BA5D4B55A3DE47D087D1339902E19D9F</vt:lpwstr>
  </property>
</Properties>
</file>